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Finance Dashboard — UI/Design Guide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This document is a complete front-end specification derived from the finance dashboard UI shown in the reference images. It covers color system, typography, spacing, layout structure, every component, CSS variables, and ready-to-use implementation notes so that any developer can faithfully recreate this design.</w:t>
      </w:r>
    </w:p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1. Design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The dashboard uses a refined, nature-inspired green palette — anchored by a deep forest-green outer shell and clean cream-white card surfaces. The aesthetic is calm, data-forward, and premium. There are three distinct layout variants visible in the reference images: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Mobile app view — single-column scrollable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Tablet / narrow desktop — two-column layout without a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Full desktop — sidebar + main content area in a grid</w:t>
      </w:r>
    </w:p>
    <w:p>
      <w:pPr>
        <w:spacing w:after="60" w:before="12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The design language is characterised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Concentric ring / donut chart as the hero visual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Soft card elevation (subtle shadow, no hard borders)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Dual-colour area chart for cashflow (Income = lime green fill, Expense = dark green stroke)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Pill-shaped percentage badges in green (positive) or red (negative)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Minimal iconography — outline-style mono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Consistent 8 px grid spacing system</w:t>
      </w:r>
    </w:p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2. Color System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2.1 Full Palette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Every color in the design maps to one of the tokens below. Use CSS custom properties (variables) so that theming and dark-mode are easy to manage.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3328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#1A3328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B4332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#1B4332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Forest Green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2D6A4F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#2D6A4F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Mid Green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4CAF50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#4CAF50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Accent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6EC96E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#6EC96E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Lime / Positive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C8E6C9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#C8E6C9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Light Green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#E8F5E9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Pale Green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7FCF7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#F7FCF7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Card Surface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Pure White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2E1E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#1A2E1E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Text Dark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4A6350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EEEEE"/>
                <w:sz w:val="16"/>
                <w:szCs w:val="16"/>
              </w:rPr>
              <w:t xml:space="preserve">#4A6350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Text Mid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8BA88F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#8BA88F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 Light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57373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#E57373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/ Negative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#FFEBEE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Pale Red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FF0DF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#DFF0DF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Border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B9D8BA" w:val="clear"/>
            <w:tcMar>
              <w:top w:type="dxa" w:w="300"/>
              <w:left w:type="dxa" w:w="80"/>
              <w:bottom w:type="dxa" w:w="100"/>
              <w:right w:type="dxa" w:w="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#B9D8BA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Divider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2.2 CSS Custom Properties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Paste this :root block at the top of your stylesheet.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:root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/* Backgrounds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--color-bg-shell:       #1A3328;   /* outer page / sidebar bg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--color-bg-card:        #F7FCF7;   /* card surface     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--color-bg-card-alt:    #EDFAED;   /* hover / alt card 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--color-bg-page:        #F0F7F0;   /* main content area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/* Brand greens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--color-green-900:      #1B4332;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--color-green-700:      #2D6A4F;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--color-green-500:      #4CAF50;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--color-green-300:      #6EC96E;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--color-green-100:      #C8E6C9;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--color-green-50:       #E8F5E9;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/* Text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--color-text-primary:   #1A2E1E;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--color-text-secondary: #4A6350;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--color-text-muted:     #8BA88F;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--color-text-on-dark:   #FFFFFF;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/* Semantic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--color-positive:       #6EC96E;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--color-positive-bg:    #E8F5E9;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--color-negative:       #E57373;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--color-negative-bg:    #FFEBEE;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/* Borders &amp; dividers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--color-border:         #DFF0DF;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--color-divider:        #B9D8BA;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3. Typography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3.1 Font Choice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The design uses a single geometric sans-serif throughout. The closest free match is DM Sans (Google Fonts). Fallback stack: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font-family: 'DM Sans', 'Plus Jakarta Sans', 'Outfit', sans-serif;</w:t>
      </w:r>
    </w:p>
    <w:p>
      <w:pPr>
        <w:spacing w:after="4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3.2 Type Scale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Weight</w:t>
            </w:r>
          </w:p>
        </w:tc>
        <w:tc>
          <w:tcPr>
            <w:tcW w:type="dxa" w:w="396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display-xl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32–36px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700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Hero stat values ($8,500 / $12,000)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display-lg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26–28px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700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Section totals, card primary amounts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heading-md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20–22px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600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Card titles (Cashflow, Finance Score)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heading-sm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16–18px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600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Sub-labels, category names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body-md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14–15px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400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Supporting text, descriptions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body-sm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12–13px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400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Metadata, timestamps, card numbers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11–12px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500</w:t>
            </w:r>
          </w:p>
        </w:tc>
        <w:tc>
          <w:tcPr>
            <w:tcW w:type="dxa" w:w="39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Axis labels, badge text</w:t>
            </w:r>
          </w:p>
        </w:tc>
      </w:tr>
    </w:tbl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4. Spacing &amp; Layout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4.1 Spacing Scale (8px base grid)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All gaps, padding, and margin values are multiples of 4 px, anchored to an 8 px base unit.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--space-1:   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--space-2:   8px;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--space-3:  12px;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--space-4:  16px;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--space-5:  20px;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--space-6:  24px;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--space-8:  32px;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--space-10: 40px;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--space-12: 48px;</w:t>
      </w:r>
    </w:p>
    <w:p>
      <w:pPr>
        <w:spacing w:after="6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4.2 Border Radius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--radius-sm:  8px;   /* badges, small tags      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--radius-md: 12px;   /* stat sub-cards, chip buttons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--radius-lg: 16px;   /* main cards, panels      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--radius-xl: 20px;   /* full-bleed hero cards   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--radius-pill: 999px; /* pill badges                  */</w:t>
      </w:r>
    </w:p>
    <w:p>
      <w:pPr>
        <w:spacing w:after="6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4.3 Card Elevation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Level 1 – base card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box-shadow: 0 2px  8px rgba(30, 80, 40, 0.06),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0 1px  2px rgba(30, 80, 40, 0.04);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Level 2 – hover / focused card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box-shadow: 0 8px 24px rgba(30, 80, 40, 0.10),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0 2px  6px rgba(30, 80, 40, 0.06);</w:t>
      </w:r>
    </w:p>
    <w:p>
      <w:pPr>
        <w:spacing w:after="6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4.4 Page Layout — Desktop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The full desktop layout is a fixed-width left sidebar with an icon nav + a fluid main content area.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.app-shell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grid;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grid-template-columns: 64px 1fr;  /* sidebar + main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min-height: 100vh;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var(--color-bg-shell);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.sidebar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64px;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var(--color-bg-shell);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flex-direction: column;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align-items: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20px 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gap: 8px;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.main-content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var(--color-bg-page);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20px 0 0 20px;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24px 28px;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overflow-y: auto;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4.5 Dashboard Grid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Inside .main-content the cards use a responsive CSS grid.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.dashboard-grid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grid;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grid-template-columns: repeat(4, 1fr);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gap: 16px;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Stat row: 4 equal columns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.stat-row { grid-column: 1 / -1; display: grid;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grid-template-columns: repeat(4,1fr); gap: 16px;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Cashflow chart: full width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.cashflow-card { grid-column: 1 / -1;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Bottom row: expense chart + finance/balance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.expense-breakdown { grid-column: 1 / 3;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.side-panels       { grid-column: 3 / 5; display: flex;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 flex-direction: column; gap: 16px;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@media (max-width: 1024px)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.dashboard-grid { grid-template-columns: repeat(2, 1fr);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.expense-breakdown, .side-panels { grid-column: 1 / -1;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@media (max-width: 640px)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.dashboard-grid { grid-template-columns: 1fr;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5. Component Specifications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5.1 Stat Card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Four of these appear across the top row: Income, Expense, Savings, Investment.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Structure: icon row (small icon + label) → main value → trend badge → delta text.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var(--color-bg-card);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var(--radius-lg);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18px 20px;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flex-direction: column;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gap: 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.stat-card__label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font-size: 13px;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var(--color-text-secondary);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 gap: 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.stat-card__value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font-size: 32px;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font-weight: 700;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var(--color-text-primary);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line-height: 1;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.stat-card__badge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inline-flex; align-items: center; gap: 3px;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font-size: 11px; font-weight: 600;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2px 7px;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var(--radius-pill);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.stat-card__badge--positive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var(--color-positive-bg);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var(--color-positive);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.stat-card__badge--negative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var(--color-negative-bg);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var(--color-negative);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.stat-card__delta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font-size: 12px;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var(--color-text-muted);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5.2 Expense Breakdown — Concentric Ring Chart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The donut chart uses 3 concentric SVG rings (not a typical single-ring donut). Each ring represents a different expense category.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Rings (outside to inside): Ring 1 = dark green (Food &amp; Dining, 50%), Ring 2 = lime green (Utilities, 30%), Ring 3 = medium grey (Investment, 20%).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SVG ring technique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stroke-dasharray = circumference * percentage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circumference of radius r = 2 * π * r       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Outer ring  r=58  → circumference ≈ 364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Middle ring r=44  → circumference ≈ 276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Inner ring  r=30  → circumference ≈ 188 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&lt;circle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cx='70' cy='70' r='58'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fill='none'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stroke='#1B4332'        /* dark green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stroke-width='10'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stroke-dasharray='182 182'  /* 50% of 364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stroke-linecap='round'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transform='rotate(-90 70 70)'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/&gt;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Background track for each ring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&lt;circle cx='70' cy='70' r='58'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fill='none' stroke='#E8F5E9' stroke-width='10'/&gt;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Render the SVG at 140×140 px. Centre the 'Total Expense' label and value below the chart, not inside the rings (the rings overlap, so the centre is left empty with a subtle grey arc hint).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.breakdown-card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flex-direction: column;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align-items: flex-start; gap: 16px;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20px;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.breakdown-chart-wrap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align-self: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position: relative;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140px; height: 140px;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Category legend rows below the chart: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.breakdown-legend-row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justify-content: space-between;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100%; padding: 4px 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.breakdown-legend-dot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10px; height: 10px;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50%;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flex-shrink: 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.breakdown-legend-label { font-size: 14px; color: var(--color-text-primary);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.breakdown-legend-value { font-size: 12px; color: var(--color-text-muted);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.breakdown-legend-pct   { font-size: 14px; font-weight: 600;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      color: var(--color-text-primary); }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5.3 Cashflow — Dual Area Chart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A smooth area/line chart with two datasets rendered on the same axes.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Income series: lime-green (#6EC96E) stroke + very light lime fill (10–15% opacity). Expense series: dark green (#1B4332) stroke + no fill (or near-zero opacity). Both lines use cubic bezier curves (tension ≈ 0.4).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Interactive tooltip: white pill card with a drop shadow. Shows 'Income', the dollar value, and the day/date string. The active data point gets a larger filled circle marker.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Chart.js configuration sketch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const config =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type: 'line',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data: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labels: ['Sun','Mon','Tue','Wed','Thu','Fri','Sat'],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datasets: [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label: 'Income',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data: [800,900,1600,900,1000,900,1200],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borderColor: '#6EC96E',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backgroundColor: 'rgba(110,201,110,0.12)',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fill: true,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tension: 0.4,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pointRadius: 3,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pointHoverRadius: 6,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},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label: 'Expense',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data: [500,600,700,550,600,650,550],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borderColor: '#1B4332',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backgroundColor: 'rgba(27,67,50,0.04)',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fill: true,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tension: 0.4,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pointRadius: 3,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]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},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options: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plugins: { legend: { display: false } },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scales: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x: { grid: { display: false }, ticks: { color: '#8BA88F' } },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y: { grid: { color: '#DFF0DF' }, ticks: { color: '#8BA88F' },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suggestedMin: 0, suggestedMax: 2000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Custom legend: render manually above the chart as two pill items (coloured dot + label) rather than using Chart.js default legend.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5.4 Finance Score Card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A compact card showing a quality rating and a horizontal progress bar.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.finance-score-card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var(--color-green-50);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var(--radius-lg);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18px 20px;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.finance-score__label  { font-size: 12px; color: var(--color-text-muted);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.finance-score__title  { font-size: 24px; font-weight: 700;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      color: var(--color-text-primary);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.finance-score__pct    { font-size: 24px; font-weight: 700;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      color: var(--color-text-primary);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.finance-score__row    { display: flex; justify-content: space-between;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      align-items: baseline;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/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Progress bar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.progress-track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height: 10px;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var(--color-green-100);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var(--radius-pill);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margin-top: 12px;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position: relative;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.progress-fill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height: 100%;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92%;                     /* 92% = score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var(--color-green-900);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var(--radius-pill);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Thumb accent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.progress-thumb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position: absolute;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right: 0; top: 50%;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transform: translate(50%, -50%);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16px; height: 16px;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var(--color-green-300);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50%;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border: 2px solid #fff;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5.5 Credit/Debit Card List Items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Each card entry inside the Balance panel uses a dark pill badge (VISA / Mastercard toggle icon) on the left and the balance + masked number on the right.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 gap: 14px;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14px 16px;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var(--color-bg-card);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var(--radius-md);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.card-item__badge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44px; height: 28px;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 justify-content: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font-size: 11px; font-weight: 700; letter-spacing: 0.5px;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.card-item__badge--visa       { background: #1B4332; color: #fff;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.card-item__badge--mastercard { background: #333; color: #fff;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.card-item__label { font-size: 12px; color: var(--color-text-muted);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.card-item__value { font-size: 20px; font-weight: 700;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color: var(--color-text-primary);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.card-item__number{ font-size: 11px; color: var(--color-text-muted);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  font-family: 'Courier New', monospace; }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5.6 Left Icon Sidebar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A 64 px wide vertical strip with monochrome outline icons. The active icon gets a slightly lighter background pill. There is a 4-dot brand mark at the very top, and icons below for: Dashboard, Cards, Transactions, Receipts, Wallet, Investments, Rewards, Messages, Settings.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.sidebar-icon-btn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44px; height: 44px;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var(--radius-md);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 justify-content: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rgba(255,255,255,0.5);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cursor: pointer;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transition: background 0.15s, color 0.15s;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.sidebar-icon-btn:hover,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.sidebar-icon-btn--active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rgba(255,255,255,0.12);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#fff;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/* notification dot on mail icon */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.sidebar-icon-btn .badge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position: absolute; top: 6px; right: 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8px; height: 8px;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var(--color-negative);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50%;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5.7 Top Navigation Bar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Sits inside .main-content. Contains: page title on the left, and on the right: message icon, notification bell (with red dot badge), avatar.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.topbar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justify-content: space-between;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margin-bottom: 24px;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.topbar__title { font-size: 22px; font-weight: 700;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                color: var(--color-text-primary);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.topbar__actions { display: flex; align-items: center; gap: 10px;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.topbar__icon-btn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36px; height: 36px;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var(--radius-md);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var(--color-bg-card);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flex; align-items: center; justify-content: center;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position: relative;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.topbar__avatar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width: 36px; height: 36px;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50%;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object-fit: cover;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5.8 Period Dropdown ("Today" / "Last 7 Days")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A small ghost button with a chevron-down icon. Used on the Expense Breakdown and Cashflow cards.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.period-picker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display: inline-flex; align-items: center; gap: 4px;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padding: 4px 10px;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border: 1px solid var(--color-border);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border-radius: var(--radius-pill);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font-size: 12px; font-weight: 500;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color: var(--color-text-secondary);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background: transparent;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cursor: pointer;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6. Interactions &amp; Animations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6.1 Card Hover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transition: transform 0.18s ease, box-shadow 0.18s ease;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.card:hover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transform: translateY(-2px);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box-shadow: 0 8px 24px rgba(30,80,40,0.10);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6.2 Ring Chart Animation (SVG stroke-dashoffset)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@keyframes ring-draw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from { stroke-dashoffset: var(--circumference);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to   { stroke-dashoffset: 0;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.ring-arc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animation: ring-draw 0.9s ease-out forwards;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animation-delay: calc(var(--ring-index) * 0.15s);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pacing w:after="6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328"/>
          <w:sz w:val="24"/>
          <w:szCs w:val="24"/>
        </w:rPr>
        <w:t xml:space="preserve">6.3 Progress Bar Animation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@keyframes progress-fill-in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from { width: 0;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to   { width: var(--score-pct, 92%); 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.progress-fill {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  animation: progress-fill-in 0.8s cubic-bezier(0.4,0,0.2,1) 0.3s both;</w:t>
      </w:r>
    </w:p>
    <w:p>
      <w:pPr>
        <w:shd w:fill="E8F5E9" w:val="clear"/>
        <w:spacing w:after="60" w:before="60"/>
        <w:ind w:left="180" w:right="180"/>
      </w:pPr>
      <w:r>
        <w:rPr>
          <w:rFonts w:ascii="Courier New" w:cs="Courier New" w:eastAsia="Courier New" w:hAnsi="Courier New"/>
          <w:b w:val="false"/>
          <w:bCs w:val="false"/>
          <w:color w:val="1B4332"/>
          <w:sz w:val="20"/>
          <w:szCs w:val="20"/>
        </w:rPr>
        <w:t xml:space="preserve">}</w:t>
      </w:r>
    </w:p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7. Responsive Breakpoints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4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Width</w:t>
            </w:r>
          </w:p>
        </w:tc>
        <w:tc>
          <w:tcPr>
            <w:tcW w:type="dxa" w:w="476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2E1E"/>
                <w:sz w:val="19"/>
                <w:szCs w:val="19"/>
              </w:rPr>
              <w:t xml:space="preserve">&lt; 640px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No sidebar. Single-column card stack. Stat cards in 2×2 grid.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tablet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2E1E"/>
                <w:sz w:val="19"/>
                <w:szCs w:val="19"/>
              </w:rPr>
              <w:t xml:space="preserve">640–1023px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No sidebar. 2-column card grid. Chart spans full width.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desktop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2E1E"/>
                <w:sz w:val="19"/>
                <w:szCs w:val="19"/>
              </w:rPr>
              <w:t xml:space="preserve">≥ 1024px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Sidebar visible. 4-column stat row. Cashflow full-width. Bottom row 2+2 grid.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wide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1A2E1E"/>
                <w:sz w:val="19"/>
                <w:szCs w:val="19"/>
              </w:rPr>
              <w:t xml:space="preserve">≥ 1440px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Sidebar width stays 64px. Main content area gains extra padding.</w:t>
            </w:r>
          </w:p>
        </w:tc>
      </w:tr>
    </w:tbl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8. Recommended Libraries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Library</w:t>
            </w:r>
          </w:p>
        </w:tc>
        <w:tc>
          <w:tcPr>
            <w:tcW w:type="dxa" w:w="4560"/>
            <w:shd w:fill="C8E6C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2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Area/line chart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Chart.js 4 + chartjs-plugin-annotation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Smooth bezier curves, custom tooltip plugin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SVG ring chart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Hand-written SVG or Recharts RadialBar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Concentric rings require manual layering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Icons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Lucide React or Phosphor Icons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Outline weight at 20–22px, stroke-width 1.5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Font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DM Sans (Google Fonts)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Weights 400, 500, 600, 700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Framer Motion (React) or GSAP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Stagger card entrance; ring draw-on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A2E1E"/>
                <w:sz w:val="19"/>
                <w:szCs w:val="19"/>
              </w:rPr>
              <w:t xml:space="preserve">Tooltip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9"/>
                <w:szCs w:val="19"/>
              </w:rPr>
              <w:t xml:space="preserve">Floating UI / Tippy.js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4A6350"/>
                <w:sz w:val="19"/>
                <w:szCs w:val="19"/>
              </w:rPr>
              <w:t xml:space="preserve">For chart hover tooltip positioning</w:t>
            </w:r>
          </w:p>
        </w:tc>
      </w:tr>
    </w:tbl>
    <w:p>
      <w:pPr>
        <w:pBdr>
          <w:bottom w:val="single" w:color="C8E6C9" w:sz="4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328"/>
          <w:sz w:val="28"/>
          <w:szCs w:val="28"/>
        </w:rPr>
        <w:t xml:space="preserve">9. Developer Quick-Start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1E"/>
          <w:sz w:val="22"/>
          <w:szCs w:val="22"/>
        </w:rPr>
        <w:t xml:space="preserve">Follow these steps in order when beginning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Add Google Font: DM Sans (weights 400, 500, 600, 700)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Paste the :root CSS variables block (Section 2.2)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Build the .app-shell grid (sidebar + main-content)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Implement the 4-column stat card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Build the Cashflow area chart using Chart.js config from Section 5.3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Build the SVG concentric ring chart for Expense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Add the Finance Score card with animated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Add the Balance panel with card list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Implement the icon sidebar with active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Add card hover transitions and ring draw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1E"/>
          <w:sz w:val="22"/>
          <w:szCs w:val="22"/>
        </w:rPr>
        <w:t xml:space="preserve">Test responsive breakpoints at 640px and 1024px</w:t>
      </w:r>
    </w:p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2E1E"/>
          <w:sz w:val="22"/>
          <w:szCs w:val="22"/>
        </w:rPr>
        <w:t xml:space="preserve">For the outer page shell, wrap everything in a container with background: var(--color-bg-shell) and give the main content a border-radius of 20px on its left edge to create the inset card effect visible in the desktop 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3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2026-03-29T02:34:04.228Z</dcterms:created>
  <dcterms:modified xsi:type="dcterms:W3CDTF">2026-03-29T02:34:04.229Z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