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pPr>
    </w:p>
    <w:p>
      <w:pPr>
        <w:spacing w:after="120" w:before="0"/>
        <w:jc w:val="center"/>
      </w:pPr>
      <w:r>
        <w:rPr>
          <w:rFonts w:ascii="Arial" w:cs="Arial" w:eastAsia="Arial" w:hAnsi="Arial"/>
          <w:b/>
          <w:bCs/>
          <w:color w:val="0F6E56"/>
          <w:sz w:val="52"/>
          <w:szCs w:val="52"/>
        </w:rPr>
        <w:t xml:space="preserve">Government Data Dictionary</w:t>
      </w:r>
    </w:p>
    <w:p>
      <w:pPr>
        <w:spacing w:after="80" w:before="0"/>
        <w:jc w:val="center"/>
      </w:pPr>
      <w:r>
        <w:rPr>
          <w:rFonts w:ascii="Arial" w:cs="Arial" w:eastAsia="Arial" w:hAnsi="Arial"/>
          <w:color w:val="185FA5"/>
          <w:sz w:val="26"/>
          <w:szCs w:val="26"/>
        </w:rPr>
        <w:t xml:space="preserve">What Data to Collect, Where to Get It, How to Structure It</w:t>
      </w:r>
    </w:p>
    <w:p>
      <w:pPr>
        <w:spacing w:after="80" w:before="80"/>
        <w:jc w:val="center"/>
      </w:pPr>
    </w:p>
    <w:p>
      <w:pPr>
        <w:spacing w:after="80" w:before="0"/>
        <w:jc w:val="center"/>
      </w:pPr>
      <w:r>
        <w:rPr>
          <w:rFonts w:ascii="Arial" w:cs="Arial" w:eastAsia="Arial" w:hAnsi="Arial"/>
          <w:color w:val="888888"/>
          <w:sz w:val="26"/>
          <w:szCs w:val="26"/>
        </w:rPr>
        <w:t xml:space="preserve">Compliance Navigator — Backend Reference</w:t>
      </w:r>
    </w:p>
    <w:p>
      <w:pPr>
        <w:spacing w:after="80" w:before="0"/>
        <w:jc w:val="center"/>
      </w:pPr>
      <w:r>
        <w:rPr>
          <w:rFonts w:ascii="Arial" w:cs="Arial" w:eastAsia="Arial" w:hAnsi="Arial"/>
          <w:color w:val="888888"/>
          <w:sz w:val="26"/>
          <w:szCs w:val="26"/>
        </w:rPr>
        <w:t xml:space="preserve">Version 1.0  |  Ethiopia Regulatory Data</w:t>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0F6E56"/>
          <w:sz w:val="32"/>
          <w:szCs w:val="32"/>
        </w:rPr>
        <w:t xml:space="preserve">1. Overview</w:t>
      </w:r>
    </w:p>
    <w:p>
      <w:pPr>
        <w:spacing w:after="100" w:before="60"/>
      </w:pPr>
      <w:r>
        <w:rPr>
          <w:rFonts w:ascii="Arial" w:cs="Arial" w:eastAsia="Arial" w:hAnsi="Arial"/>
          <w:sz w:val="22"/>
          <w:szCs w:val="22"/>
        </w:rPr>
        <w:t xml:space="preserve">This document defines every piece of data the Compliance Navigator backend must collect, its source, the scraping method, how to structure it in the graph database, and how frequently to refresh it. The goal is a living, accurate map of Ethiopian bureaucratic requirements.</w:t>
      </w:r>
    </w:p>
    <w:p>
      <w:pPr>
        <w:pBdr>
          <w:bottom w:val="single" w:color="DDDDDD" w:sz="4"/>
        </w:pBdr>
        <w:spacing w:after="200" w:before="200"/>
      </w:pPr>
    </w:p>
    <w:p>
      <w:pPr>
        <w:pStyle w:val="Heading1"/>
        <w:spacing w:after="120" w:before="360"/>
      </w:pPr>
      <w:r>
        <w:rPr>
          <w:rFonts w:ascii="Arial" w:cs="Arial" w:eastAsia="Arial" w:hAnsi="Arial"/>
          <w:b/>
          <w:bCs/>
          <w:color w:val="0F6E56"/>
          <w:sz w:val="32"/>
          <w:szCs w:val="32"/>
        </w:rPr>
        <w:t xml:space="preserve">2. Government Sources to Scrape</w:t>
      </w:r>
    </w:p>
    <w:p>
      <w:pPr>
        <w:pStyle w:val="Heading2"/>
        <w:spacing w:after="100" w:before="280"/>
      </w:pPr>
      <w:r>
        <w:rPr>
          <w:rFonts w:ascii="Arial" w:cs="Arial" w:eastAsia="Arial" w:hAnsi="Arial"/>
          <w:b/>
          <w:bCs/>
          <w:color w:val="185FA5"/>
          <w:sz w:val="26"/>
          <w:szCs w:val="26"/>
        </w:rPr>
        <w:t xml:space="preserve">2.1 Priority Source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Institution</w:t>
            </w:r>
          </w:p>
        </w:tc>
        <w:tc>
          <w:tcPr>
            <w:tcW w:type="dxa" w:w="22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Portal URL</w:t>
            </w:r>
          </w:p>
        </w:tc>
        <w:tc>
          <w:tcPr>
            <w:tcW w:type="dxa" w:w="20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Scrape Method</w:t>
            </w:r>
          </w:p>
        </w:tc>
        <w:tc>
          <w:tcPr>
            <w:tcW w:type="dxa" w:w="256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Refresh Frequency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Ministry of Trade (MoTRI)</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motrade.gov.et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Playwright (JS-rendered)</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Weekly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Ethiopian Revenue Authority (ERCA)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erca.gov.et</w:t>
            </w:r>
          </w:p>
        </w:tc>
        <w:tc>
          <w:tcPr>
            <w:tcW w:type="dxa" w:w="2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BeautifulSoup (static HTML)</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Weekly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National Bank of Ethiopia (NBE)</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nbe.gov.et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PDF download + pdfplumber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Monthly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Addis Ababa City Administration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addisababa.gov.et</w:t>
            </w:r>
          </w:p>
        </w:tc>
        <w:tc>
          <w:tcPr>
            <w:tcW w:type="dxa" w:w="2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Playwright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Bi-weekly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Ethiopian Investment Commission</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ethiopiainvestment.gov.et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BeautifulSoup + PDF</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Monthly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Federal Negarit Gazeta (Laws)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negaritgazeta.gov.et</w:t>
            </w:r>
          </w:p>
        </w:tc>
        <w:tc>
          <w:tcPr>
            <w:tcW w:type="dxa" w:w="2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PDF download + pdfplumber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 new proclamation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Ethiopian Communications Auth.</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eca.gov.et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Playwright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Monthly</w:t>
            </w:r>
          </w:p>
        </w:tc>
      </w:tr>
    </w:tbl>
    <w:p>
      <w:pPr>
        <w:spacing w:before="200"/>
      </w:pPr>
    </w:p>
    <w:p>
      <w:pPr>
        <w:pStyle w:val="Heading2"/>
        <w:spacing w:after="100" w:before="280"/>
      </w:pPr>
      <w:r>
        <w:rPr>
          <w:rFonts w:ascii="Arial" w:cs="Arial" w:eastAsia="Arial" w:hAnsi="Arial"/>
          <w:b/>
          <w:bCs/>
          <w:color w:val="185FA5"/>
          <w:sz w:val="26"/>
          <w:szCs w:val="26"/>
        </w:rPr>
        <w:t xml:space="preserve">2.2 Manual Data Sources (No Scraping Possible)</w:t>
      </w:r>
    </w:p>
    <w:p>
      <w:pPr>
        <w:spacing w:after="100" w:before="60"/>
      </w:pPr>
      <w:r>
        <w:rPr>
          <w:rFonts w:ascii="Arial" w:cs="Arial" w:eastAsia="Arial" w:hAnsi="Arial"/>
          <w:sz w:val="22"/>
          <w:szCs w:val="22"/>
        </w:rPr>
        <w:t xml:space="preserve">Some data must be collected manually by visiting offices or calling bureaus:</w:t>
      </w:r>
    </w:p>
    <w:p>
      <w:pPr>
        <w:pStyle w:val="ListParagraph"/>
        <w:numPr>
          <w:ilvl w:val="0"/>
          <w:numId w:val="2"/>
        </w:numPr>
        <w:spacing w:after="40" w:before="40"/>
      </w:pPr>
      <w:r>
        <w:rPr>
          <w:rFonts w:ascii="Arial" w:cs="Arial" w:eastAsia="Arial" w:hAnsi="Arial"/>
          <w:sz w:val="22"/>
          <w:szCs w:val="22"/>
        </w:rPr>
        <w:t xml:space="preserve">Sub-city trade bureau office hours and branch addresses (call each branch)</w:t>
      </w:r>
    </w:p>
    <w:p>
      <w:pPr>
        <w:pStyle w:val="ListParagraph"/>
        <w:numPr>
          <w:ilvl w:val="0"/>
          <w:numId w:val="2"/>
        </w:numPr>
        <w:spacing w:after="40" w:before="40"/>
      </w:pPr>
      <w:r>
        <w:rPr>
          <w:rFonts w:ascii="Arial" w:cs="Arial" w:eastAsia="Arial" w:hAnsi="Arial"/>
          <w:sz w:val="22"/>
          <w:szCs w:val="22"/>
        </w:rPr>
        <w:t xml:space="preserve">Kebele-specific stamp requirements (visit Kebele offices directly)</w:t>
      </w:r>
    </w:p>
    <w:p>
      <w:pPr>
        <w:pStyle w:val="ListParagraph"/>
        <w:numPr>
          <w:ilvl w:val="0"/>
          <w:numId w:val="2"/>
        </w:numPr>
        <w:spacing w:after="40" w:before="40"/>
      </w:pPr>
      <w:r>
        <w:rPr>
          <w:rFonts w:ascii="Arial" w:cs="Arial" w:eastAsia="Arial" w:hAnsi="Arial"/>
          <w:sz w:val="22"/>
          <w:szCs w:val="22"/>
        </w:rPr>
        <w:t xml:space="preserve">Fee schedules (often posted on physical notice boards, not online)</w:t>
      </w:r>
    </w:p>
    <w:p>
      <w:pPr>
        <w:pStyle w:val="ListParagraph"/>
        <w:numPr>
          <w:ilvl w:val="0"/>
          <w:numId w:val="2"/>
        </w:numPr>
        <w:spacing w:after="40" w:before="40"/>
      </w:pPr>
      <w:r>
        <w:rPr>
          <w:rFonts w:ascii="Arial" w:cs="Arial" w:eastAsia="Arial" w:hAnsi="Arial"/>
          <w:sz w:val="22"/>
          <w:szCs w:val="22"/>
        </w:rPr>
        <w:t xml:space="preserve">Form codes and versions (request from issuing office)</w:t>
      </w:r>
    </w:p>
    <w:p>
      <w:pPr>
        <w:spacing w:after="100" w:before="60"/>
      </w:pPr>
      <w:r>
        <w:rPr>
          <w:rFonts w:ascii="Arial" w:cs="Arial" w:eastAsia="Arial" w:hAnsi="Arial"/>
          <w:sz w:val="22"/>
          <w:szCs w:val="22"/>
        </w:rPr>
        <w:t xml:space="preserve">Assign a field researcher role to verify and update this data quarterly.</w:t>
      </w:r>
    </w:p>
    <w:p>
      <w:pPr>
        <w:pBdr>
          <w:bottom w:val="single" w:color="DDDDDD" w:sz="4"/>
        </w:pBdr>
        <w:spacing w:after="200" w:before="200"/>
      </w:pPr>
    </w:p>
    <w:p>
      <w:pPr>
        <w:pStyle w:val="Heading1"/>
        <w:spacing w:after="120" w:before="360"/>
      </w:pPr>
      <w:r>
        <w:rPr>
          <w:rFonts w:ascii="Arial" w:cs="Arial" w:eastAsia="Arial" w:hAnsi="Arial"/>
          <w:b/>
          <w:bCs/>
          <w:color w:val="0F6E56"/>
          <w:sz w:val="32"/>
          <w:szCs w:val="32"/>
        </w:rPr>
        <w:t xml:space="preserve">3. Data Models — What to Collect for Each Entity</w:t>
      </w:r>
    </w:p>
    <w:p>
      <w:pPr>
        <w:pStyle w:val="Heading2"/>
        <w:spacing w:after="100" w:before="280"/>
      </w:pPr>
      <w:r>
        <w:rPr>
          <w:rFonts w:ascii="Arial" w:cs="Arial" w:eastAsia="Arial" w:hAnsi="Arial"/>
          <w:b/>
          <w:bCs/>
          <w:color w:val="185FA5"/>
          <w:sz w:val="26"/>
          <w:szCs w:val="26"/>
        </w:rPr>
        <w:t xml:space="preserve">3.1 Document Node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c>
          <w:tcPr>
            <w:tcW w:type="dxa" w:w="20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 Name</w:t>
            </w:r>
          </w:p>
        </w:tc>
        <w:tc>
          <w:tcPr>
            <w:tcW w:type="dxa" w:w="18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6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w:t>
            </w:r>
          </w:p>
        </w:tc>
        <w:tc>
          <w:tcPr>
            <w:tcW w:type="dxa" w:w="396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id</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string (UUID)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Generated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Unique identifier — e.g. doc_tin_certificate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1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MoTRI / ERCA</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Official document name in English and Amharic</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name_am</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MoTRI / ERCA</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Amharic name for localization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issuing_authority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1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Portal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name of issuing government body</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form_code</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Office / portal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Official form number — e.g. IT-101 for TIN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fee_etb</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integer</w:t>
            </w:r>
          </w:p>
        </w:tc>
        <w:tc>
          <w:tcPr>
            <w:tcW w:type="dxa" w:w="1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Office visit / portal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Fee in Ethiopian Birr; 0 if free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avg_processing_days</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Field research</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Average realistic processing time in business days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legal_basis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1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Negarit Gazeta</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Proclamation or directive reference — e.g. Proc. 1360/2024</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required_inputs</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ERCA / MoTRI</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Array of other doc IDs required before this one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sector_specific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boolean</w:t>
            </w:r>
          </w:p>
        </w:tc>
        <w:tc>
          <w:tcPr>
            <w:tcW w:type="dxa" w:w="1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NBE / sector reg.</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True if this doc is only needed for certain sectors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applicable_sectors</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NBE / sector reg.</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Which sectors require this doc — e.g. ['fintech', 'banking']</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rejection_reasons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1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Field research</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Common rejection reasons collected from real cases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last_verified</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date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System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Timestamp of last scrape or manual verification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source_url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1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Scraper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URL from which data was extracted</w:t>
            </w:r>
          </w:p>
        </w:tc>
      </w:tr>
    </w:tbl>
    <w:p>
      <w:pPr>
        <w:spacing w:before="200"/>
      </w:pPr>
    </w:p>
    <w:p>
      <w:pPr>
        <w:pStyle w:val="Heading2"/>
        <w:spacing w:after="100" w:before="280"/>
      </w:pPr>
      <w:r>
        <w:rPr>
          <w:rFonts w:ascii="Arial" w:cs="Arial" w:eastAsia="Arial" w:hAnsi="Arial"/>
          <w:b/>
          <w:bCs/>
          <w:color w:val="185FA5"/>
          <w:sz w:val="26"/>
          <w:szCs w:val="26"/>
        </w:rPr>
        <w:t xml:space="preserve">3.2 Office Node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 Name</w:t>
            </w:r>
          </w:p>
        </w:tc>
        <w:tc>
          <w:tcPr>
            <w:tcW w:type="dxa" w:w="16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20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w:t>
            </w:r>
          </w:p>
        </w:tc>
        <w:tc>
          <w:tcPr>
            <w:tcW w:type="dxa" w:w="376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name</w:t>
            </w:r>
          </w:p>
        </w:tc>
        <w:tc>
          <w:tcPr>
            <w:tcW w:type="dxa" w:w="1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Portal / field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name of office or branch</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parent_institution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Portal</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e.g. ERCA, MoTRI, NBE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sub_city</w:t>
            </w:r>
          </w:p>
        </w:tc>
        <w:tc>
          <w:tcPr>
            <w:tcW w:type="dxa" w:w="1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Field research</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Addis Ababa sub-city — e.g. Bole, Kirkos, Arada</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address_detail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Field research</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Building name, floor, landmark — as specific as possible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latitude</w:t>
            </w:r>
          </w:p>
        </w:tc>
        <w:tc>
          <w:tcPr>
            <w:tcW w:type="dxa" w:w="1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Google Maps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For map integration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longitude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Google Maps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For map integration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phone</w:t>
            </w:r>
          </w:p>
        </w:tc>
        <w:tc>
          <w:tcPr>
            <w:tcW w:type="dxa" w:w="1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Portal / field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Array of phone numbers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working_hours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Field research</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e.g. Mon–Fri 08:30–17:00 EAT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documents_issued</w:t>
            </w:r>
          </w:p>
        </w:tc>
        <w:tc>
          <w:tcPr>
            <w:tcW w:type="dxa" w:w="1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Portal</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Array of doc IDs this office can issue</w:t>
            </w:r>
          </w:p>
        </w:tc>
      </w:tr>
    </w:tbl>
    <w:p>
      <w:pPr>
        <w:spacing w:before="200"/>
      </w:pPr>
    </w:p>
    <w:p>
      <w:pPr>
        <w:pStyle w:val="Heading2"/>
        <w:spacing w:after="100" w:before="280"/>
      </w:pPr>
      <w:r>
        <w:rPr>
          <w:rFonts w:ascii="Arial" w:cs="Arial" w:eastAsia="Arial" w:hAnsi="Arial"/>
          <w:b/>
          <w:bCs/>
          <w:color w:val="185FA5"/>
          <w:sz w:val="26"/>
          <w:szCs w:val="26"/>
        </w:rPr>
        <w:t xml:space="preserve">3.3 Legal Clause (RAG Chunk) Fields</w:t>
      </w:r>
    </w:p>
    <w:p>
      <w:pPr>
        <w:spacing w:after="100" w:before="60"/>
      </w:pPr>
      <w:r>
        <w:rPr>
          <w:rFonts w:ascii="Arial" w:cs="Arial" w:eastAsia="Arial" w:hAnsi="Arial"/>
          <w:sz w:val="22"/>
          <w:szCs w:val="22"/>
        </w:rPr>
        <w:t xml:space="preserve">Each chunk stored in Qdrant must carry these metadata fields alongside its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Metadata Field</w:t>
            </w:r>
          </w:p>
        </w:tc>
        <w:tc>
          <w:tcPr>
            <w:tcW w:type="dxa" w:w="16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56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proclamation_number</w:t>
            </w:r>
          </w:p>
        </w:tc>
        <w:tc>
          <w:tcPr>
            <w:tcW w:type="dxa" w:w="1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e.g. '1360/2024' — links chunk to its source law</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article_number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Article/section reference within the proclamation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issuing_body</w:t>
            </w:r>
          </w:p>
        </w:tc>
        <w:tc>
          <w:tcPr>
            <w:tcW w:type="dxa" w:w="1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Which government body issued this regulation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effective_date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Date the regulation came into force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topic_tags</w:t>
            </w:r>
          </w:p>
        </w:tc>
        <w:tc>
          <w:tcPr>
            <w:tcW w:type="dxa" w:w="1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e.g. ['TIN', 'tax_registration', 'ERCA']</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sector_tags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e.g. ['fintech', 'banking'] — empty means all sectors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source_url</w:t>
            </w:r>
          </w:p>
        </w:tc>
        <w:tc>
          <w:tcPr>
            <w:tcW w:type="dxa" w:w="1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URL to the original legal document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language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 or 'am' — English or Amharic source</w:t>
            </w:r>
          </w:p>
        </w:tc>
      </w:tr>
    </w:tbl>
    <w:p>
      <w:pPr>
        <w:pBdr>
          <w:bottom w:val="single" w:color="DDDDDD" w:sz="4"/>
        </w:pBdr>
        <w:spacing w:after="200" w:before="200"/>
      </w:pPr>
    </w:p>
    <w:p>
      <w:pPr>
        <w:pStyle w:val="Heading1"/>
        <w:spacing w:after="120" w:before="360"/>
      </w:pPr>
      <w:r>
        <w:rPr>
          <w:rFonts w:ascii="Arial" w:cs="Arial" w:eastAsia="Arial" w:hAnsi="Arial"/>
          <w:b/>
          <w:bCs/>
          <w:color w:val="0F6E56"/>
          <w:sz w:val="32"/>
          <w:szCs w:val="32"/>
        </w:rPr>
        <w:t xml:space="preserve">4. Scraping Implementation Guide</w:t>
      </w:r>
    </w:p>
    <w:p>
      <w:pPr>
        <w:pStyle w:val="Heading2"/>
        <w:spacing w:after="100" w:before="280"/>
      </w:pPr>
      <w:r>
        <w:rPr>
          <w:rFonts w:ascii="Arial" w:cs="Arial" w:eastAsia="Arial" w:hAnsi="Arial"/>
          <w:b/>
          <w:bCs/>
          <w:color w:val="185FA5"/>
          <w:sz w:val="26"/>
          <w:szCs w:val="26"/>
        </w:rPr>
        <w:t xml:space="preserve">4.1 Scraper Architecture</w:t>
      </w:r>
    </w:p>
    <w:p>
      <w:pPr>
        <w:spacing w:after="100" w:before="60"/>
      </w:pPr>
      <w:r>
        <w:rPr>
          <w:rFonts w:ascii="Arial" w:cs="Arial" w:eastAsia="Arial" w:hAnsi="Arial"/>
          <w:sz w:val="22"/>
          <w:szCs w:val="22"/>
        </w:rPr>
        <w:t xml:space="preserve">All scrapers are Python scripts in the /scrapers directory, run as scheduled jobs:</w:t>
      </w:r>
    </w:p>
    <w:p>
      <w:pPr>
        <w:shd w:fill="F0F4F8" w:val="clear"/>
        <w:spacing w:after="60" w:before="60"/>
        <w:ind w:left="360"/>
      </w:pPr>
      <w:r>
        <w:rPr>
          <w:rFonts w:ascii="Courier New" w:cs="Courier New" w:eastAsia="Courier New" w:hAnsi="Courier New"/>
          <w:color w:val="185FA5"/>
          <w:sz w:val="20"/>
          <w:szCs w:val="20"/>
        </w:rPr>
        <w:t xml:space="preserve">scrapers/</w:t>
      </w:r>
    </w:p>
    <w:p>
      <w:pPr>
        <w:shd w:fill="F0F4F8" w:val="clear"/>
        <w:spacing w:after="60" w:before="60"/>
        <w:ind w:left="360"/>
      </w:pPr>
      <w:r>
        <w:rPr>
          <w:rFonts w:ascii="Courier New" w:cs="Courier New" w:eastAsia="Courier New" w:hAnsi="Courier New"/>
          <w:color w:val="185FA5"/>
          <w:sz w:val="20"/>
          <w:szCs w:val="20"/>
        </w:rPr>
        <w:t xml:space="preserve">  motri_scraper.py       # Ministry of Trade portal</w:t>
      </w:r>
    </w:p>
    <w:p>
      <w:pPr>
        <w:shd w:fill="F0F4F8" w:val="clear"/>
        <w:spacing w:after="60" w:before="60"/>
        <w:ind w:left="360"/>
      </w:pPr>
      <w:r>
        <w:rPr>
          <w:rFonts w:ascii="Courier New" w:cs="Courier New" w:eastAsia="Courier New" w:hAnsi="Courier New"/>
          <w:color w:val="185FA5"/>
          <w:sz w:val="20"/>
          <w:szCs w:val="20"/>
        </w:rPr>
        <w:t xml:space="preserve">  erca_scraper.py        # ERCA TIN and tax forms</w:t>
      </w:r>
    </w:p>
    <w:p>
      <w:pPr>
        <w:shd w:fill="F0F4F8" w:val="clear"/>
        <w:spacing w:after="60" w:before="60"/>
        <w:ind w:left="360"/>
      </w:pPr>
      <w:r>
        <w:rPr>
          <w:rFonts w:ascii="Courier New" w:cs="Courier New" w:eastAsia="Courier New" w:hAnsi="Courier New"/>
          <w:color w:val="185FA5"/>
          <w:sz w:val="20"/>
          <w:szCs w:val="20"/>
        </w:rPr>
        <w:t xml:space="preserve">  nbe_scraper.py         # NBE directives (PDF-first)</w:t>
      </w:r>
    </w:p>
    <w:p>
      <w:pPr>
        <w:shd w:fill="F0F4F8" w:val="clear"/>
        <w:spacing w:after="60" w:before="60"/>
        <w:ind w:left="360"/>
      </w:pPr>
      <w:r>
        <w:rPr>
          <w:rFonts w:ascii="Courier New" w:cs="Courier New" w:eastAsia="Courier New" w:hAnsi="Courier New"/>
          <w:color w:val="185FA5"/>
          <w:sz w:val="20"/>
          <w:szCs w:val="20"/>
        </w:rPr>
        <w:t xml:space="preserve">  negarit_scraper.py     # Proclamations from Negarit Gazeta</w:t>
      </w:r>
    </w:p>
    <w:p>
      <w:pPr>
        <w:shd w:fill="F0F4F8" w:val="clear"/>
        <w:spacing w:after="60" w:before="60"/>
        <w:ind w:left="360"/>
      </w:pPr>
      <w:r>
        <w:rPr>
          <w:rFonts w:ascii="Courier New" w:cs="Courier New" w:eastAsia="Courier New" w:hAnsi="Courier New"/>
          <w:color w:val="185FA5"/>
          <w:sz w:val="20"/>
          <w:szCs w:val="20"/>
        </w:rPr>
        <w:t xml:space="preserve">  scheduler.py           # APScheduler job runner</w:t>
      </w:r>
    </w:p>
    <w:p>
      <w:pPr>
        <w:shd w:fill="F0F4F8" w:val="clear"/>
        <w:spacing w:after="60" w:before="60"/>
        <w:ind w:left="360"/>
      </w:pPr>
      <w:r>
        <w:rPr>
          <w:rFonts w:ascii="Courier New" w:cs="Courier New" w:eastAsia="Courier New" w:hAnsi="Courier New"/>
          <w:color w:val="185FA5"/>
          <w:sz w:val="20"/>
          <w:szCs w:val="20"/>
        </w:rPr>
        <w:t xml:space="preserve">  ingest.py              # Graph + vector store loader</w:t>
      </w:r>
    </w:p>
    <w:p>
      <w:pPr>
        <w:spacing w:before="120"/>
      </w:pPr>
    </w:p>
    <w:p>
      <w:pPr>
        <w:pStyle w:val="Heading2"/>
        <w:spacing w:after="100" w:before="280"/>
      </w:pPr>
      <w:r>
        <w:rPr>
          <w:rFonts w:ascii="Arial" w:cs="Arial" w:eastAsia="Arial" w:hAnsi="Arial"/>
          <w:b/>
          <w:bCs/>
          <w:color w:val="185FA5"/>
          <w:sz w:val="26"/>
          <w:szCs w:val="26"/>
        </w:rPr>
        <w:t xml:space="preserve">4.2 Scraper Pattern (Playwright example)</w:t>
      </w:r>
    </w:p>
    <w:p>
      <w:pPr>
        <w:shd w:fill="F0F4F8" w:val="clear"/>
        <w:spacing w:after="60" w:before="60"/>
        <w:ind w:left="360"/>
      </w:pPr>
      <w:r>
        <w:rPr>
          <w:rFonts w:ascii="Courier New" w:cs="Courier New" w:eastAsia="Courier New" w:hAnsi="Courier New"/>
          <w:color w:val="185FA5"/>
          <w:sz w:val="20"/>
          <w:szCs w:val="20"/>
        </w:rPr>
        <w:t xml:space="preserve">from playwright.async_api import async_playwright</w:t>
      </w:r>
    </w:p>
    <w:p>
      <w:pPr>
        <w:shd w:fill="F0F4F8" w:val="clear"/>
        <w:spacing w:after="60" w:before="60"/>
        <w:ind w:left="360"/>
      </w:pPr>
      <w:r>
        <w:rPr>
          <w:rFonts w:ascii="Courier New" w:cs="Courier New" w:eastAsia="Courier New" w:hAnsi="Courier New"/>
          <w:color w:val="185FA5"/>
          <w:sz w:val="20"/>
          <w:szCs w:val="20"/>
        </w:rPr>
        <w:t xml:space="preserve">import pdfplumber, json</w:t>
      </w:r>
    </w:p>
    <w:p>
      <w:pPr>
        <w:shd w:fill="F0F4F8" w:val="clear"/>
        <w:spacing w:after="60" w:before="60"/>
        <w:ind w:left="360"/>
      </w:pPr>
      <w:r>
        <w:rPr>
          <w:rFonts w:ascii="Courier New" w:cs="Courier New" w:eastAsia="Courier New" w:hAnsi="Courier New"/>
          <w:color w:val="185FA5"/>
          <w:sz w:val="20"/>
          <w:szCs w:val="20"/>
        </w:rPr>
        <w:t xml:space="preserve"/>
      </w:r>
    </w:p>
    <w:p>
      <w:pPr>
        <w:shd w:fill="F0F4F8" w:val="clear"/>
        <w:spacing w:after="60" w:before="60"/>
        <w:ind w:left="360"/>
      </w:pPr>
      <w:r>
        <w:rPr>
          <w:rFonts w:ascii="Courier New" w:cs="Courier New" w:eastAsia="Courier New" w:hAnsi="Courier New"/>
          <w:color w:val="185FA5"/>
          <w:sz w:val="20"/>
          <w:szCs w:val="20"/>
        </w:rPr>
        <w:t xml:space="preserve">async def scrape_nbe():</w:t>
      </w:r>
    </w:p>
    <w:p>
      <w:pPr>
        <w:shd w:fill="F0F4F8" w:val="clear"/>
        <w:spacing w:after="60" w:before="60"/>
        <w:ind w:left="360"/>
      </w:pPr>
      <w:r>
        <w:rPr>
          <w:rFonts w:ascii="Courier New" w:cs="Courier New" w:eastAsia="Courier New" w:hAnsi="Courier New"/>
          <w:color w:val="185FA5"/>
          <w:sz w:val="20"/>
          <w:szCs w:val="20"/>
        </w:rPr>
        <w:t xml:space="preserve">    async with async_playwright() as p:</w:t>
      </w:r>
    </w:p>
    <w:p>
      <w:pPr>
        <w:shd w:fill="F0F4F8" w:val="clear"/>
        <w:spacing w:after="60" w:before="60"/>
        <w:ind w:left="360"/>
      </w:pPr>
      <w:r>
        <w:rPr>
          <w:rFonts w:ascii="Courier New" w:cs="Courier New" w:eastAsia="Courier New" w:hAnsi="Courier New"/>
          <w:color w:val="185FA5"/>
          <w:sz w:val="20"/>
          <w:szCs w:val="20"/>
        </w:rPr>
        <w:t xml:space="preserve">        browser = await p.chromium.launch(headless=True)</w:t>
      </w:r>
    </w:p>
    <w:p>
      <w:pPr>
        <w:shd w:fill="F0F4F8" w:val="clear"/>
        <w:spacing w:after="60" w:before="60"/>
        <w:ind w:left="360"/>
      </w:pPr>
      <w:r>
        <w:rPr>
          <w:rFonts w:ascii="Courier New" w:cs="Courier New" w:eastAsia="Courier New" w:hAnsi="Courier New"/>
          <w:color w:val="185FA5"/>
          <w:sz w:val="20"/>
          <w:szCs w:val="20"/>
        </w:rPr>
        <w:t xml:space="preserve">        page = await browser.new_page()</w:t>
      </w:r>
    </w:p>
    <w:p>
      <w:pPr>
        <w:shd w:fill="F0F4F8" w:val="clear"/>
        <w:spacing w:after="60" w:before="60"/>
        <w:ind w:left="360"/>
      </w:pPr>
      <w:r>
        <w:rPr>
          <w:rFonts w:ascii="Courier New" w:cs="Courier New" w:eastAsia="Courier New" w:hAnsi="Courier New"/>
          <w:color w:val="185FA5"/>
          <w:sz w:val="20"/>
          <w:szCs w:val="20"/>
        </w:rPr>
        <w:t xml:space="preserve">        await page.goto('https://nbe.gov.et/directives')</w:t>
      </w:r>
    </w:p>
    <w:p>
      <w:pPr>
        <w:shd w:fill="F0F4F8" w:val="clear"/>
        <w:spacing w:after="60" w:before="60"/>
        <w:ind w:left="360"/>
      </w:pPr>
      <w:r>
        <w:rPr>
          <w:rFonts w:ascii="Courier New" w:cs="Courier New" w:eastAsia="Courier New" w:hAnsi="Courier New"/>
          <w:color w:val="185FA5"/>
          <w:sz w:val="20"/>
          <w:szCs w:val="20"/>
        </w:rPr>
        <w:t xml:space="preserve">        links = await page.query_selector_all('a[href$=".pdf"]')</w:t>
      </w:r>
    </w:p>
    <w:p>
      <w:pPr>
        <w:shd w:fill="F0F4F8" w:val="clear"/>
        <w:spacing w:after="60" w:before="60"/>
        <w:ind w:left="360"/>
      </w:pPr>
      <w:r>
        <w:rPr>
          <w:rFonts w:ascii="Courier New" w:cs="Courier New" w:eastAsia="Courier New" w:hAnsi="Courier New"/>
          <w:color w:val="185FA5"/>
          <w:sz w:val="20"/>
          <w:szCs w:val="20"/>
        </w:rPr>
        <w:t xml:space="preserve">        for link in links:</w:t>
      </w:r>
    </w:p>
    <w:p>
      <w:pPr>
        <w:shd w:fill="F0F4F8" w:val="clear"/>
        <w:spacing w:after="60" w:before="60"/>
        <w:ind w:left="360"/>
      </w:pPr>
      <w:r>
        <w:rPr>
          <w:rFonts w:ascii="Courier New" w:cs="Courier New" w:eastAsia="Courier New" w:hAnsi="Courier New"/>
          <w:color w:val="185FA5"/>
          <w:sz w:val="20"/>
          <w:szCs w:val="20"/>
        </w:rPr>
        <w:t xml:space="preserve">            url = await link.get_attribute('href')</w:t>
      </w:r>
    </w:p>
    <w:p>
      <w:pPr>
        <w:shd w:fill="F0F4F8" w:val="clear"/>
        <w:spacing w:after="60" w:before="60"/>
        <w:ind w:left="360"/>
      </w:pPr>
      <w:r>
        <w:rPr>
          <w:rFonts w:ascii="Courier New" w:cs="Courier New" w:eastAsia="Courier New" w:hAnsi="Courier New"/>
          <w:color w:val="185FA5"/>
          <w:sz w:val="20"/>
          <w:szCs w:val="20"/>
        </w:rPr>
        <w:t xml:space="preserve">            # download and parse PDF...</w:t>
      </w:r>
    </w:p>
    <w:p>
      <w:pPr>
        <w:spacing w:before="120"/>
      </w:pPr>
    </w:p>
    <w:p>
      <w:pPr>
        <w:pStyle w:val="Heading2"/>
        <w:spacing w:after="100" w:before="280"/>
      </w:pPr>
      <w:r>
        <w:rPr>
          <w:rFonts w:ascii="Arial" w:cs="Arial" w:eastAsia="Arial" w:hAnsi="Arial"/>
          <w:b/>
          <w:bCs/>
          <w:color w:val="185FA5"/>
          <w:sz w:val="26"/>
          <w:szCs w:val="26"/>
        </w:rPr>
        <w:t xml:space="preserve">4.3 Staleness Handling</w:t>
      </w:r>
    </w:p>
    <w:p>
      <w:pPr>
        <w:pStyle w:val="ListParagraph"/>
        <w:numPr>
          <w:ilvl w:val="0"/>
          <w:numId w:val="2"/>
        </w:numPr>
        <w:spacing w:after="40" w:before="40"/>
      </w:pPr>
      <w:r>
        <w:rPr>
          <w:rFonts w:ascii="Arial" w:cs="Arial" w:eastAsia="Arial" w:hAnsi="Arial"/>
          <w:sz w:val="22"/>
          <w:szCs w:val="22"/>
        </w:rPr>
        <w:t xml:space="preserve">Every Document node has a last_verified timestamp</w:t>
      </w:r>
    </w:p>
    <w:p>
      <w:pPr>
        <w:pStyle w:val="ListParagraph"/>
        <w:numPr>
          <w:ilvl w:val="0"/>
          <w:numId w:val="2"/>
        </w:numPr>
        <w:spacing w:after="40" w:before="40"/>
      </w:pPr>
      <w:r>
        <w:rPr>
          <w:rFonts w:ascii="Arial" w:cs="Arial" w:eastAsia="Arial" w:hAnsi="Arial"/>
          <w:sz w:val="22"/>
          <w:szCs w:val="22"/>
        </w:rPr>
        <w:t xml:space="preserve">If last_verified &gt; 30 days ago, flag node as STALE in Neo4j</w:t>
      </w:r>
    </w:p>
    <w:p>
      <w:pPr>
        <w:pStyle w:val="ListParagraph"/>
        <w:numPr>
          <w:ilvl w:val="0"/>
          <w:numId w:val="2"/>
        </w:numPr>
        <w:spacing w:after="40" w:before="40"/>
      </w:pPr>
      <w:r>
        <w:rPr>
          <w:rFonts w:ascii="Arial" w:cs="Arial" w:eastAsia="Arial" w:hAnsi="Arial"/>
          <w:sz w:val="22"/>
          <w:szCs w:val="22"/>
        </w:rPr>
        <w:t xml:space="preserve">API responses for STALE nodes include a warning banner to the user</w:t>
      </w:r>
    </w:p>
    <w:p>
      <w:pPr>
        <w:pStyle w:val="ListParagraph"/>
        <w:numPr>
          <w:ilvl w:val="0"/>
          <w:numId w:val="2"/>
        </w:numPr>
        <w:spacing w:after="40" w:before="40"/>
      </w:pPr>
      <w:r>
        <w:rPr>
          <w:rFonts w:ascii="Arial" w:cs="Arial" w:eastAsia="Arial" w:hAnsi="Arial"/>
          <w:sz w:val="22"/>
          <w:szCs w:val="22"/>
        </w:rPr>
        <w:t xml:space="preserve">A weekly admin digest email lists all STALE nodes for manual review</w:t>
      </w:r>
    </w:p>
    <w:p>
      <w:pPr>
        <w:pBdr>
          <w:bottom w:val="single" w:color="DDDDDD" w:sz="4"/>
        </w:pBdr>
        <w:spacing w:after="200" w:before="200"/>
      </w:pPr>
    </w:p>
    <w:p>
      <w:pPr>
        <w:pStyle w:val="Heading1"/>
        <w:spacing w:after="120" w:before="360"/>
      </w:pPr>
      <w:r>
        <w:rPr>
          <w:rFonts w:ascii="Arial" w:cs="Arial" w:eastAsia="Arial" w:hAnsi="Arial"/>
          <w:b/>
          <w:bCs/>
          <w:color w:val="0F6E56"/>
          <w:sz w:val="32"/>
          <w:szCs w:val="32"/>
        </w:rPr>
        <w:t xml:space="preserve">5. Initial Data Seed — Documents to Bootstrap</w:t>
      </w:r>
    </w:p>
    <w:p>
      <w:pPr>
        <w:spacing w:after="100" w:before="60"/>
      </w:pPr>
      <w:r>
        <w:rPr>
          <w:rFonts w:ascii="Arial" w:cs="Arial" w:eastAsia="Arial" w:hAnsi="Arial"/>
          <w:sz w:val="22"/>
          <w:szCs w:val="22"/>
        </w:rPr>
        <w:t xml:space="preserve">The following documents form the minimum viable graph. Seed these manually before the scraper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2760"/>
      </w:tblGrid>
      <w:tr>
        <w:tc>
          <w:tcPr>
            <w:tcW w:type="dxa" w:w="26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Name</w:t>
            </w:r>
          </w:p>
        </w:tc>
        <w:tc>
          <w:tcPr>
            <w:tcW w:type="dxa" w:w="22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Issuing Authority</w:t>
            </w:r>
          </w:p>
        </w:tc>
        <w:tc>
          <w:tcPr>
            <w:tcW w:type="dxa" w:w="18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 Days</w:t>
            </w:r>
          </w:p>
        </w:tc>
        <w:tc>
          <w:tcPr>
            <w:tcW w:type="dxa" w:w="276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Prerequisite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Kebele ID / National ID</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Local Kebele Office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3–7 days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Birth certificate or witness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Notarized Lease Agreement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Sub-city Notary Office</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1 day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Original lease + Kebele stamp</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TIN Certificate</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ERCA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1–2 days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Notarized lease + National ID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Commercial Registration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MoTRI</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2–3 days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TIN + MoA + name reservation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Trade License</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Sub-city Trade Bureau</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3–5 days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Commercial registration + TIN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Data Processor Registration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Ethiopian Communications Auth.</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5–10 days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Trade license (fintech only)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NBE Fintech Permit</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National Bank of Ethiopia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6–12 weeks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Trade license + IT audit + capital statement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VAT Registration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ERCA</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2–3 days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TIN + annual turnover &gt; ETB 1M</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Business License Renewal</w:t>
            </w:r>
          </w:p>
        </w:tc>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sz w:val="20"/>
                <w:szCs w:val="20"/>
              </w:rPr>
              <w:t xml:space="preserve">Sub-city Trade Bureau</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1–2 days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Existing trade license (annual)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spacing w:before="80"/>
    </w:pPr>
    <w:r>
      <w:rPr>
        <w:rFonts w:ascii="Arial" w:cs="Arial" w:eastAsia="Arial" w:hAnsi="Arial"/>
        <w:color w:val="888888"/>
        <w:sz w:val="16"/>
        <w:szCs w:val="16"/>
      </w:rPr>
      <w:t xml:space="preserve">Compliance Navigator — Developer Documentation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pBdr>
      <w:tabs>
        <w:tab w:val="right" w:pos="9026"/>
      </w:tabs>
    </w:pPr>
    <w:r>
      <w:rPr>
        <w:rFonts w:ascii="Arial" w:cs="Arial" w:eastAsia="Arial" w:hAnsi="Arial"/>
        <w:b/>
        <w:bCs/>
        <w:color w:val="0F6E56"/>
        <w:sz w:val="18"/>
        <w:szCs w:val="18"/>
      </w:rPr>
      <w:t xml:space="preserve">Compliance Navigator  |  </w:t>
    </w:r>
    <w:r>
      <w:rPr>
        <w:rFonts w:ascii="Arial" w:cs="Arial" w:eastAsia="Arial" w:hAnsi="Arial"/>
        <w:color w:val="888888"/>
        <w:sz w:val="18"/>
        <w:szCs w:val="18"/>
      </w:rPr>
      <w:t xml:space="preserve">Data Collection Guide v1.0</w:t>
    </w:r>
    <w:r>
      <w:rPr>
        <w:sz w:val="18"/>
        <w:szCs w:val="18"/>
      </w:rPr>
      <w:t xml:space="preserve">	</w:t>
    </w:r>
    <w:r>
      <w:rPr>
        <w:rFonts w:ascii="Arial" w:cs="Arial" w:eastAsia="Arial" w:hAnsi="Arial"/>
        <w:color w:val="88888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lvl w:ilvl="1" w15:tentative="1">
      <w:start w:val="1"/>
      <w:numFmt w:val="decimal"/>
      <w:lvlText w:val="%1.%2."/>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2026-05-30T20:40:34.510Z</dcterms:created>
  <dcterms:modified xsi:type="dcterms:W3CDTF">2026-05-30T20:40:34.510Z</dcterms:modified>
</cp:coreProperties>
</file>

<file path=docProps/custom.xml><?xml version="1.0" encoding="utf-8"?>
<Properties xmlns="http://schemas.openxmlformats.org/officeDocument/2006/custom-properties" xmlns:vt="http://schemas.openxmlformats.org/officeDocument/2006/docPropsVTypes"/>
</file>