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Product Features &amp; Roadmap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85FA5"/>
          <w:sz w:val="26"/>
          <w:szCs w:val="26"/>
        </w:rPr>
        <w:t xml:space="preserve">Full Feature Specification for Developers &amp; Product Team</w:t>
      </w:r>
    </w:p>
    <w:p>
      <w:pPr>
        <w:spacing w:after="80" w:before="8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Compliance Navigator — Version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MVP + Phase 2 + Phase 3 Breakdown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Product Vision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Compliance Navigator is infrastructure, not content. It converts bureaucratic opacity into a computable graph problem, giving entrepreneurs and developers a deterministic, up-to-date path through Ethiopian regulatory requirements. The system is designed to stay accurate as laws change, not as textbooks are updated.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MVP Features (Phase 1)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2.1 Roadmap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 Input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industry, sub-city, entity type, and lists documents already held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Graph-based Path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shortest path query returns ordered list of steps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 Step Roadmap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step UI with done/active/blocked states, estimated days, office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Sector-aware Extras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detects sector-specific requirements (e.g. NBE permit for fintech)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 Legal Grounding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step is grounded in a retrieved legal clause; hallucination prevention enforced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Conversational Follow-up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bar allows contextual Q&amp;A against the active roadmap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Checklist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per-step checklist as PDF or plaintext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— save roadmap progress to user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Regulatory News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Scraped + curated news cards with AI summaries; 6hr cache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Law Firm Directory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 list of top firms with specializations, ratings, contact info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2.2 Document Validator (Vision Feature)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Photo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uploads photo of their document or rejection notice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Vision Model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LLaVA 1.5 extracts text, stamps, dates, and signatures from photo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Rejection Reason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 rejection notice is uploaded, system identifies the specific missing element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 Matching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Compares extracted doc fields against the required spec for that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Guidance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plain-language instructions: 'Your lease is missing the Kebele stamp from [X]'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Phase 2 Features (Post-MVP)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 Multi-sector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Agriculture: land use permits, water rights, export licenses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Manufacturing: industrial zone registration, environmental impact assessment (EIA No. 1371/2025)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Healthcare: medical director credentialing, drug license, health bureau approval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NGO / Civil Society: registration with Ministry of Justice, foreign funding disclosure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 Estate: land title chain, notarization, cadastral survey, foreign buyer rules (Proc. 1388/2025)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3.2 Multi-language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Amharic UI translation (priority for local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Amharic legal text in Qdrant corpus — dual-language 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templates generated in both languages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3.3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Graph Editor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Neo4j editor for adding/editing nodes and edges without Cypher knowledge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Stale Node Monitor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listing all Document nodes where last_verified &gt; 30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Scraper Run Logs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Per-source scrape history, success/failure, data diff since last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Feedback Loop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flag incorrect information; flagged nodes surface in admin queue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Proclamation Tracker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Negarit Gazeta for new proclamations; alert admin when new law is detected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Phase 3 Features (Scale)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4.1 Government API Integration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Phase 3 targets direct API integration with government portals as Ethiopia's e-government infrastructure matures: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MoTRI e-registration API (if/when available) — auto-populate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ERCA e-TIN portal integration — live status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Addis Ababa City Administration e-services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NBE licensing portal — submission tracking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4.2 Compliance-as-a-Service (B2B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REST API for law firms, business consultants, and ERP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 notifications when a regulation affecting a client's sector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Embeddable roadmap widget (iframe or React component) for third-party portals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White-label option for law firms to deploy under their own brand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4.3 Geographic Expansion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same graph architecture applies to other jurisdictions. The expansion model: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country = new graph database instance with same schema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legal corpus ingested into a new Qdrant collection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Country-specific scraper set added to scheduler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country selector routes to correct backend instance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Target sequence: Ethiopia → Kenya (eCitizen) → Nigeria (CAC) → Rwanda (RDB)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Non-Functional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Roadmap generation: &lt; 8 seconds end-to-end (graph query + RAG + LLM synthesis)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 query alone: &lt; 200ms (Neo4j, indexed on node labels)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News feed: cached 6 hours, &lt; 500ms response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validator (vision): &lt; 15 seconds for image analysis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5.2 Accuracy &amp; Hallucination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LLM output must cite a retrieved legal clause chunk (source_url + proclamation_number)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relevant chunk is found with similarity &gt; 0.75, the system must respond: 'I cannot confirm this regulation. Please contact [Bureau] directly.'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tolerance for fabricated office addresses, fees, or form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feedback flags trigger automatic confidence downgrade for affected nodes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document uploads stored encrypted at rest (AES-256, MinIO)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Images auto-deleted after 24 hours unless user explicitly saves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PII stored in Neo4j or Qdrant — only structural compliance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rate limiting: 60 requests/minute per authenticated user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Developer Onboarding Checklist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 this checklist to get a development environment running: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Clone repo and read README.md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Docker, Python 3.11+, Node.js 20+, Ollama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docker compose up (Neo4j + Qdrant + MinIO)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Pull models: ollama pull llama3 &amp;&amp; ollama pull llava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pip install -r requirements.txt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 graph: python scripts/seed_graph.py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Ingest legal corpus: python scrapers/ingest.py --source 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backend: uvicorn main:app --reload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frontend: npm run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tests: pytest tests/ -v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graph: python scripts/validate_graph.py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Compliance Navigator — Developer Documentation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/>
      </w:pBdr>
      <w:tabs>
        <w:tab w:val="right" w:pos="9026"/>
      </w:tabs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Compliance Navigator  |  </w:t>
    </w:r>
    <w:r>
      <w:rPr>
        <w:rFonts w:ascii="Arial" w:cs="Arial" w:eastAsia="Arial" w:hAnsi="Arial"/>
        <w:color w:val="888888"/>
        <w:sz w:val="18"/>
        <w:szCs w:val="18"/>
      </w:rPr>
      <w:t xml:space="preserve">Feature Spec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decimal"/>
      <w:lvlText w:val="%1.%2.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2026-05-30T20:40:34.715Z</dcterms:created>
  <dcterms:modified xsi:type="dcterms:W3CDTF">2026-05-30T20:40:34.715Z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