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المملكة المغربية</w:t>
      </w:r>
    </w:p>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وزارة التربية الوطنية والتعليم الأولي والرياضة</w:t>
      </w:r>
    </w:p>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المركز الجهوي لمهن التربية والتكوين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مراكش</w:t>
      </w:r>
    </w:p>
    <w:p>
      <w:pPr>
        <w:bidi w:val="true"/>
        <w:spacing w:before="100" w:after="200" w:line="240"/>
        <w:ind w:right="0" w:left="0" w:firstLine="0"/>
        <w:jc w:val="left"/>
        <w:rPr>
          <w:rFonts w:ascii="Arial" w:hAnsi="Arial" w:cs="Arial" w:eastAsia="Arial"/>
          <w:color w:val="auto"/>
          <w:spacing w:val="0"/>
          <w:position w:val="0"/>
          <w:sz w:val="22"/>
          <w:shd w:fill="auto" w:val="clear"/>
        </w:rPr>
      </w:pPr>
    </w:p>
    <w:p>
      <w:pPr>
        <w:bidi w:val="true"/>
        <w:spacing w:before="40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4E79"/>
          <w:spacing w:val="0"/>
          <w:position w:val="0"/>
          <w:sz w:val="40"/>
          <w:shd w:fill="auto" w:val="clear"/>
        </w:rPr>
        <w:t xml:space="preserve">تقرير الوحدة التكوينية</w:t>
      </w:r>
    </w:p>
    <w:p>
      <w:pPr>
        <w:bidi w:val="true"/>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2E75B6"/>
          <w:spacing w:val="0"/>
          <w:position w:val="0"/>
          <w:sz w:val="32"/>
          <w:shd w:fill="auto" w:val="clear"/>
        </w:rPr>
        <w:t xml:space="preserve">الوحدة</w:t>
      </w:r>
      <w:r>
        <w:rPr>
          <w:rFonts w:ascii="Arial" w:hAnsi="Arial" w:cs="Arial" w:eastAsia="Arial"/>
          <w:b/>
          <w:color w:val="2E75B6"/>
          <w:spacing w:val="0"/>
          <w:position w:val="0"/>
          <w:sz w:val="32"/>
          <w:shd w:fill="auto" w:val="clear"/>
        </w:rPr>
        <w:t xml:space="preserve">: </w:t>
      </w:r>
      <w:r>
        <w:rPr>
          <w:rFonts w:ascii="Arial" w:hAnsi="Arial" w:cs="Arial" w:eastAsia="Arial"/>
          <w:b/>
          <w:color w:val="2E75B6"/>
          <w:spacing w:val="0"/>
          <w:position w:val="0"/>
          <w:sz w:val="32"/>
          <w:shd w:fill="auto" w:val="clear"/>
        </w:rPr>
        <w:t xml:space="preserve">علوم التربية</w:t>
      </w:r>
    </w:p>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المسلك</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تأهيل أطر التدريس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تخصص</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المعلوميات</w:t>
      </w:r>
    </w:p>
    <w:p>
      <w:pPr>
        <w:bidi w:val="true"/>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الفوج</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2025-2026</w:t>
      </w:r>
    </w:p>
    <w:p>
      <w:pPr>
        <w:bidi w:val="true"/>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الأستاذ المتدرب</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ياسين حافظي</w:t>
      </w:r>
    </w:p>
    <w:p>
      <w:pPr>
        <w:bidi w:val="true"/>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الأستاذة المؤطرة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السيدة العسري</w:t>
      </w:r>
    </w:p>
    <w:p>
      <w:pPr>
        <w:bidi w:val="true"/>
        <w:spacing w:before="0" w:after="1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السنة التكوينية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2025-2026</w:t>
      </w:r>
    </w:p>
    <w:p>
      <w:pPr>
        <w:pageBreakBefore w:val="true"/>
        <w:bidi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r>
    </w:p>
    <w:p>
      <w:pPr>
        <w:bidi w:val="true"/>
        <w:spacing w:before="320" w:after="200" w:line="240"/>
        <w:ind w:right="0" w:left="0" w:firstLine="0"/>
        <w:jc w:val="righ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مقدمة</w:t>
      </w:r>
    </w:p>
    <w:p>
      <w:pPr>
        <w:bidi w:val="true"/>
        <w:spacing w:before="0" w:after="12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تعد وحدة علوم التربية من الوحدات الأساسية المشتركة بين جميع التخصصات في مسار تأهيل أطر التدريس، وتهدف إلى تعبئة الطالب الأستاذ لمختلف الموارد المعرفية والنظرية والمنهجية المرتبطة بمجالات علوم التربية، واستثمارها في فهم وتدبير وضعيات تعليمية تعلمية تستجيب لحاجات المتعلمين التعليمية والتربوية والنفسية والاجتماعية والفكرية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وتسهم هذه الوحدة في انفتاح الطالب الأستاذ واندماجه المدرسي والاجتماعي، وتراعي المستجدات والتوجهات الوطنية في مجال التربية والتكوين</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وتتمثل أهداف الوحدة في التعرف على سياق نشأة وتطور علوم التربية ومرجعياتها النظرية والمنهجية، والتعرف على علم نفس المراهق من خلال مميزات مرحلة المراهقة، والتعرف على نظريات التعلم والمقاربات البيداغوجية وبيداغوجيات التعلم المتمركزة حول المتعلم في خدمة المقاربة بالكفايات، والتعرف على سوسيولوجيا التربية، وفهم المحيط السوسيو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ثقافي للمؤسسة التعليمية والتنشئة المدرسية وأدوار مختلف الفاعلين بها، إضافة إلى استثمار الأبعاد الوظيفية لعلوم التربية في فهم حاجيات المتعلمين التربوية والنفسية والفكرية والاجتماعية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وترتبط هذه الوحدة ارتباطا جوهريا بمهنة التدريس، إذ تشكل الأساس النظري والمنهجي الذي يمكّن الأستاذ من فهم متعلميه وتكييف ممارساته البيداغوجية وفق خصائصهم النمائية واحتياجاتهم المتنوعة</w:t>
      </w:r>
      <w:r>
        <w:rPr>
          <w:rFonts w:ascii="Arial" w:hAnsi="Arial" w:cs="Arial" w:eastAsia="Arial"/>
          <w:color w:val="auto"/>
          <w:spacing w:val="0"/>
          <w:position w:val="0"/>
          <w:sz w:val="22"/>
          <w:shd w:fill="auto" w:val="clear"/>
        </w:rPr>
        <w:t xml:space="preserve">.</w:t>
      </w:r>
    </w:p>
    <w:p>
      <w:pPr>
        <w:bidi w:val="true"/>
        <w:spacing w:before="320" w:after="200" w:line="240"/>
        <w:ind w:right="0" w:left="0" w:firstLine="0"/>
        <w:jc w:val="righ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المحاور الأساسية للوحدة</w:t>
      </w:r>
    </w:p>
    <w:p>
      <w:pPr>
        <w:bidi w:val="true"/>
        <w:spacing w:before="240" w:after="140" w:line="240"/>
        <w:ind w:right="0" w:left="0" w:firstLine="0"/>
        <w:jc w:val="righ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أولا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مدخل إلى علوم التربية</w:t>
      </w:r>
    </w:p>
    <w:p>
      <w:pPr>
        <w:bidi w:val="true"/>
        <w:spacing w:before="0" w:after="12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يقدم هذا المحور مدخلا عاما لعلوم التربية من خلال استعراض سياق نشأة وتطور علوم التربية، ومجالاتها وبعض مفاهيمها الأساسية، مما يشكل الأساس المفاهيمي الذي تنبني عليه باقي محاور الوحدة</w:t>
      </w:r>
      <w:r>
        <w:rPr>
          <w:rFonts w:ascii="Arial" w:hAnsi="Arial" w:cs="Arial" w:eastAsia="Arial"/>
          <w:color w:val="auto"/>
          <w:spacing w:val="0"/>
          <w:position w:val="0"/>
          <w:sz w:val="22"/>
          <w:shd w:fill="auto" w:val="clear"/>
        </w:rPr>
        <w:t xml:space="preserve">.</w:t>
      </w:r>
    </w:p>
    <w:p>
      <w:pPr>
        <w:numPr>
          <w:ilvl w:val="0"/>
          <w:numId w:val="15"/>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سياق نشأة وتطور علوم التربية</w:t>
      </w:r>
      <w:r>
        <w:rPr>
          <w:rFonts w:ascii="Arial" w:hAnsi="Arial" w:cs="Arial" w:eastAsia="Arial"/>
          <w:color w:val="auto"/>
          <w:spacing w:val="0"/>
          <w:position w:val="0"/>
          <w:sz w:val="22"/>
          <w:shd w:fill="auto" w:val="clear"/>
        </w:rPr>
        <w:t xml:space="preserve">.</w:t>
      </w:r>
    </w:p>
    <w:p>
      <w:pPr>
        <w:numPr>
          <w:ilvl w:val="0"/>
          <w:numId w:val="15"/>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مجالات علوم التربية وبعض مفاهيمها الأساسية</w:t>
      </w:r>
      <w:r>
        <w:rPr>
          <w:rFonts w:ascii="Arial" w:hAnsi="Arial" w:cs="Arial" w:eastAsia="Arial"/>
          <w:color w:val="auto"/>
          <w:spacing w:val="0"/>
          <w:position w:val="0"/>
          <w:sz w:val="22"/>
          <w:shd w:fill="auto" w:val="clear"/>
        </w:rPr>
        <w:t xml:space="preserve">.</w:t>
      </w:r>
    </w:p>
    <w:p>
      <w:pPr>
        <w:bidi w:val="true"/>
        <w:spacing w:before="240" w:after="140" w:line="240"/>
        <w:ind w:right="0" w:left="0" w:firstLine="0"/>
        <w:jc w:val="righ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ثانيا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علم نفس المراهق</w:t>
      </w:r>
    </w:p>
    <w:p>
      <w:pPr>
        <w:bidi w:val="true"/>
        <w:spacing w:before="0" w:after="12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يتناول هذا المحور علم نفس المراهق من خلال تعريف هذا العلم وخصائص مرحلة المراهقة، ويستعرض التحولات الجسمية والنفسية والفكرية التي يعرفها المراهق، إضافة إلى المشكلات العلائقية التي قد تنشأ خلال هذه المرحلة، وهو محور أساسي لفهم الفئة العمرية المستهدفة بالتدريس في الإعدادي والتأهيلي</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تعريف علم نفس المراهق</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خصائص مرحلة المراهقة</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التحولات الجسمية للمراهق</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التحولات النفسية للمراهق</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التحولات الفكرية للمراهق</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المشكلات العلائقية للمراهقة</w:t>
      </w:r>
      <w:r>
        <w:rPr>
          <w:rFonts w:ascii="Arial" w:hAnsi="Arial" w:cs="Arial" w:eastAsia="Arial"/>
          <w:color w:val="auto"/>
          <w:spacing w:val="0"/>
          <w:position w:val="0"/>
          <w:sz w:val="22"/>
          <w:shd w:fill="auto" w:val="clear"/>
        </w:rPr>
        <w:t xml:space="preserve">.</w:t>
      </w:r>
    </w:p>
    <w:p>
      <w:pPr>
        <w:bidi w:val="true"/>
        <w:spacing w:before="240" w:after="140" w:line="240"/>
        <w:ind w:right="0" w:left="0" w:firstLine="0"/>
        <w:jc w:val="righ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ثالثا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نظريات التعلم والمقاربات البيداغوجية</w:t>
      </w:r>
    </w:p>
    <w:p>
      <w:pPr>
        <w:bidi w:val="true"/>
        <w:spacing w:before="0" w:after="12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يستعرض هذا المحور أهم نظريات التعلم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السلوكية، الجشطالتية، البنائية، السوسيوبنائية، والعلوم العصبية المعرفية والتعلم</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ثم المقاربات البيداغوجية الكبرى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المقاربة بالمضامين، المقاربة بالأهداف</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بيداغوجيا الأهداف، والمقاربة بالكفايات باعتبارها المقاربة المعتمدة رسميا</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وصولا إلى بيداغوجيات التعلم المتمركزة حول المتعلم في خدمة المقاربة بالكفايات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بيداغوجيا حل المشكلات، بيداغوجيا المشروع، بيداغوجيا الخطأ، والبيداغوجيا الفارقية</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نظريات التعلم</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السلوكية، الجشطالتية، البنائية، السوسيوبنائية، العلوم العصبية المعرفية والتعلم</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المقاربات البيداغوجية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المقاربة بالمضامين، المقاربة بالأهداف</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بيداغوجيا الأهداف، المقاربة بالكفايات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المعتمدة رسميا</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بيداغوجيات التعلم المتمركزة حول المتعلم</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بيداغوجيا حل المشكلات، بيداغوجيا المشروع، بيداغوجيا الخطأ، البيداغوجيا الفارقية</w:t>
      </w:r>
      <w:r>
        <w:rPr>
          <w:rFonts w:ascii="Arial" w:hAnsi="Arial" w:cs="Arial" w:eastAsia="Arial"/>
          <w:color w:val="auto"/>
          <w:spacing w:val="0"/>
          <w:position w:val="0"/>
          <w:sz w:val="22"/>
          <w:shd w:fill="auto" w:val="clear"/>
        </w:rPr>
        <w:t xml:space="preserve">.</w:t>
      </w:r>
    </w:p>
    <w:p>
      <w:pPr>
        <w:bidi w:val="true"/>
        <w:spacing w:before="240" w:after="140" w:line="240"/>
        <w:ind w:right="0" w:left="0" w:firstLine="0"/>
        <w:jc w:val="righ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رابعا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سوسيولوجيا التربية وعلم النفس الاجتماعي التربوي</w:t>
      </w:r>
    </w:p>
    <w:p>
      <w:pPr>
        <w:bidi w:val="true"/>
        <w:spacing w:before="0" w:after="12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يتناول هذا المحور سوسيولوجيا المدرسة من خلال التنشئة المدرسية والمحيط السوسيو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ثقافي، وسوسيولوجيا المؤسسة التعليمية وتفاعلاتها مع محيطها، وآليات الاندماج في الأوساط السوسيو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مهنية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قروي، حضري، شبه حضري</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كما يتناول علم النفس الاجتماعي التربوي من خلال ديناميات الجماعة وجماعة القسم، والتواصل والتنشيط وتقنياته</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التنشئة المدرسية والمحيط السوسيو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ثقافي</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سوسيولوجيا المؤسسة التعليمية وتفاعلاتها مع المحيط</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آليات الاندماج في الأوساط السوسيو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مهنية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قروي، حضري، شبه حضري</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ديناميات الجماعة وديناميات جماعة القسم</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التواصل والتنشيط وتقنيات التنشيط</w:t>
      </w:r>
      <w:r>
        <w:rPr>
          <w:rFonts w:ascii="Arial" w:hAnsi="Arial" w:cs="Arial" w:eastAsia="Arial"/>
          <w:color w:val="auto"/>
          <w:spacing w:val="0"/>
          <w:position w:val="0"/>
          <w:sz w:val="22"/>
          <w:shd w:fill="auto" w:val="clear"/>
        </w:rPr>
        <w:t xml:space="preserve">.</w:t>
      </w:r>
    </w:p>
    <w:p>
      <w:pPr>
        <w:bidi w:val="true"/>
        <w:spacing w:before="320" w:after="200" w:line="240"/>
        <w:ind w:right="0" w:left="0" w:firstLine="0"/>
        <w:jc w:val="righ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الجزء التطبيقي</w:t>
      </w:r>
      <w:r>
        <w:rPr>
          <w:rFonts w:ascii="Arial" w:hAnsi="Arial" w:cs="Arial" w:eastAsia="Arial"/>
          <w:b/>
          <w:color w:val="1F4E79"/>
          <w:spacing w:val="0"/>
          <w:position w:val="0"/>
          <w:sz w:val="32"/>
          <w:shd w:fill="auto" w:val="clear"/>
        </w:rPr>
        <w:t xml:space="preserve">: </w:t>
      </w:r>
      <w:r>
        <w:rPr>
          <w:rFonts w:ascii="Arial" w:hAnsi="Arial" w:cs="Arial" w:eastAsia="Arial"/>
          <w:b/>
          <w:color w:val="1F4E79"/>
          <w:spacing w:val="0"/>
          <w:position w:val="0"/>
          <w:sz w:val="32"/>
          <w:shd w:fill="auto" w:val="clear"/>
        </w:rPr>
        <w:t xml:space="preserve">تحليل وضعية مهنية</w:t>
      </w:r>
    </w:p>
    <w:p>
      <w:pPr>
        <w:bidi w:val="true"/>
        <w:spacing w:before="240" w:after="140" w:line="240"/>
        <w:ind w:right="0" w:left="0" w:firstLine="0"/>
        <w:jc w:val="righ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وضعية مهنية معروضة للتحليل</w:t>
      </w:r>
    </w:p>
    <w:p>
      <w:pPr>
        <w:bidi w:val="true"/>
        <w:spacing w:before="0" w:after="12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في إطار التدريب الميداني بثانوية إعدادية بورج الزيتونة، تحت إشراف الأستاذ لمين جوهري، لاحظ الأستاذ المتدرب أن بعض متعلمي قسم السنة الثانية إعدادي يبدون انعزالا وصعوبة في التركيز خلال حصص المعلوميات، مع ظهور توترات علائقية بين مجموعة من التلاميذ، وهو ما أثر على ديناميكية جماعة القسم خلال الأنشطة الجماعية المبرمجة</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righ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التحليل وفق محاور علوم التربية</w:t>
      </w:r>
    </w:p>
    <w:tbl>
      <w:tblPr/>
      <w:tblGrid>
        <w:gridCol w:w="2400"/>
        <w:gridCol w:w="3480"/>
        <w:gridCol w:w="348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المجال المعني</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المرجعية النظرية المعتمدة</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القراءة</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الإجراء المتخذ</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علم نفس المراهق</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التحولات النفسية والفكرية لمرحلة المراهقة</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اعتبار سلوكات الانعزال والتوتر مظاهر طبيعية مرتبطة بالمرحلة العمرية، لا تعبيرا عن سوء نية</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نظريات التعلم</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النظرية السوسيوبنائية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التعلم عبر التفاعل الاجتماعي</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إعادة تصميم النشاط في شكل عمل جماعي صغير لتعزيز التفاعل البنّاء بين المتعلمين</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المقاربات البيداغوجية</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بيداغوجيا حل المشكلات</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تحويل النشاط إلى مشكلة جماعية تتطلب تعاون جميع أعضاء المجموعة لإيجاد الحل</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علم النفس الاجتماعي التربوي</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ديناميات جماعة القسم وتقنيات التنشيط</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اعتماد تقنية تنشيط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تشكيل مجموعات عشوائية متجددة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للحد من التكتلات المتوترة</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سوسيولوجيا التربية</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التنشئة المدرسية والمحيط السوسيو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ثقافي</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التواصل مع الإدارة لفهم السياق الاجتماعي العام لبعض المتعلمين المتأثرين</w:t>
            </w:r>
          </w:p>
        </w:tc>
      </w:tr>
    </w:tbl>
    <w:p>
      <w:pPr>
        <w:bidi w:val="true"/>
        <w:spacing w:before="180" w:after="100" w:line="240"/>
        <w:ind w:right="0" w:left="0" w:firstLine="0"/>
        <w:jc w:val="righ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الخطوات المعتمدة في المعالجة</w:t>
      </w:r>
    </w:p>
    <w:p>
      <w:pPr>
        <w:numPr>
          <w:ilvl w:val="0"/>
          <w:numId w:val="4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الملاحظة والتشخيص</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تتبع سلوكات المتعلمين خلال عدة حصص قبل اتخاذ أي إجراء</w:t>
      </w:r>
      <w:r>
        <w:rPr>
          <w:rFonts w:ascii="Arial" w:hAnsi="Arial" w:cs="Arial" w:eastAsia="Arial"/>
          <w:color w:val="auto"/>
          <w:spacing w:val="0"/>
          <w:position w:val="0"/>
          <w:sz w:val="22"/>
          <w:shd w:fill="auto" w:val="clear"/>
        </w:rPr>
        <w:t xml:space="preserve">.</w:t>
      </w:r>
    </w:p>
    <w:p>
      <w:pPr>
        <w:numPr>
          <w:ilvl w:val="0"/>
          <w:numId w:val="4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إعادة هيكلة الأنشطة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التحول من العمل الفردي إلى العمل الجماعي وفق بيداغوجيا حل المشكلات</w:t>
      </w:r>
      <w:r>
        <w:rPr>
          <w:rFonts w:ascii="Arial" w:hAnsi="Arial" w:cs="Arial" w:eastAsia="Arial"/>
          <w:color w:val="auto"/>
          <w:spacing w:val="0"/>
          <w:position w:val="0"/>
          <w:sz w:val="22"/>
          <w:shd w:fill="auto" w:val="clear"/>
        </w:rPr>
        <w:t xml:space="preserve">.</w:t>
      </w:r>
    </w:p>
    <w:p>
      <w:pPr>
        <w:numPr>
          <w:ilvl w:val="0"/>
          <w:numId w:val="4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تنويع تقنيات التنشيط</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تشكيل مجموعات متجددة لتفادي تثبيت التوترات بين تلاميذ معينين</w:t>
      </w:r>
      <w:r>
        <w:rPr>
          <w:rFonts w:ascii="Arial" w:hAnsi="Arial" w:cs="Arial" w:eastAsia="Arial"/>
          <w:color w:val="auto"/>
          <w:spacing w:val="0"/>
          <w:position w:val="0"/>
          <w:sz w:val="22"/>
          <w:shd w:fill="auto" w:val="clear"/>
        </w:rPr>
        <w:t xml:space="preserve">.</w:t>
      </w:r>
    </w:p>
    <w:p>
      <w:pPr>
        <w:numPr>
          <w:ilvl w:val="0"/>
          <w:numId w:val="4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المتابعة والتقويم</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رصد تطور ديناميكية جماعة القسم خلال الحصص اللاحقة وتعديل الإجراءات عند الحاجة</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righ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التقييم الذاتي للأستاذ المتدرب</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الكفاية</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المستوى المحقق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من </w:t>
            </w:r>
            <w:r>
              <w:rPr>
                <w:rFonts w:ascii="Arial" w:hAnsi="Arial" w:cs="Arial" w:eastAsia="Arial"/>
                <w:b/>
                <w:color w:val="auto"/>
                <w:spacing w:val="0"/>
                <w:position w:val="0"/>
                <w:sz w:val="22"/>
                <w:shd w:fill="auto" w:val="clear"/>
              </w:rPr>
              <w:t xml:space="preserve">1</w:t>
            </w:r>
            <w:r>
              <w:rPr>
                <w:rFonts w:ascii="Arial" w:hAnsi="Arial" w:cs="Arial" w:eastAsia="Arial"/>
                <w:b/>
                <w:color w:val="auto"/>
                <w:spacing w:val="0"/>
                <w:position w:val="0"/>
                <w:sz w:val="22"/>
                <w:shd w:fill="auto" w:val="clear"/>
              </w:rPr>
              <w:t xml:space="preserve"> إلى </w:t>
            </w:r>
            <w:r>
              <w:rPr>
                <w:rFonts w:ascii="Arial" w:hAnsi="Arial" w:cs="Arial" w:eastAsia="Arial"/>
                <w:b/>
                <w:color w:val="auto"/>
                <w:spacing w:val="0"/>
                <w:position w:val="0"/>
                <w:sz w:val="22"/>
                <w:shd w:fill="auto" w:val="clear"/>
              </w:rPr>
              <w:t xml:space="preserve">4</w:t>
            </w:r>
            <w:r>
              <w:rPr>
                <w:rFonts w:ascii="Arial" w:hAnsi="Arial" w:cs="Arial" w:eastAsia="Arial"/>
                <w:b/>
                <w:color w:val="auto"/>
                <w:spacing w:val="0"/>
                <w:position w:val="0"/>
                <w:sz w:val="22"/>
                <w:shd w:fill="auto" w:val="clear"/>
              </w:rPr>
              <w:t xml:space="preserv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فهم خصائص مرحلة المراهقة وتأثيرها على السلوك الصفي</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استثمار نظريات التعلم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السوسيوبنائية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في تصميم الأنشطة</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تطبيق بيداغوجيا حل المشكلات في وضعية حقيقية</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استخدام تقنيات تنشيط لتدبير ديناميكية جماعة القسم</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قراءة الوضعية في سياقها السوسيولوجي الأوسع</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color w:val="auto"/>
                <w:spacing w:val="0"/>
                <w:position w:val="0"/>
                <w:sz w:val="22"/>
                <w:shd w:fill="auto" w:val="clear"/>
              </w:rPr>
            </w:pPr>
            <w:r>
              <w:rPr>
                <w:rFonts w:ascii="Arial" w:hAnsi="Arial" w:cs="Arial" w:eastAsia="Arial"/>
                <w:color w:val="auto"/>
                <w:spacing w:val="0"/>
                <w:position w:val="0"/>
                <w:sz w:val="22"/>
                <w:shd w:fill="auto" w:val="clear"/>
              </w:rPr>
              <w:t xml:space="preserve">2/4</w:t>
            </w:r>
          </w:p>
        </w:tc>
      </w:tr>
    </w:tbl>
    <w:p>
      <w:pPr>
        <w:bidi w:val="true"/>
        <w:spacing w:before="320" w:after="200" w:line="240"/>
        <w:ind w:right="0" w:left="0" w:firstLine="0"/>
        <w:jc w:val="righ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الخاتمة والآفاق</w:t>
      </w:r>
    </w:p>
    <w:p>
      <w:pPr>
        <w:bidi w:val="true"/>
        <w:spacing w:before="180" w:after="100" w:line="240"/>
        <w:ind w:right="0" w:left="0" w:firstLine="0"/>
        <w:jc w:val="righ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التقييم الشخصي للأستاذ المتدرب</w:t>
      </w:r>
    </w:p>
    <w:p>
      <w:pPr>
        <w:bidi w:val="true"/>
        <w:spacing w:before="0" w:after="12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مكنتني هذه الوحدة من تجاوز القراءة السطحية لسلوكات المتعلمين نحو تحليل مؤسس على مرجعيات علم نفس المراهق ونظريات التعلم وعلم النفس الاجتماعي التربوي</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وقد أتاحت لي الوضعية المهنية التي عشتها خلال التدريب الميداني فرصة لتوظيف بيداغوجيا حل المشكلات والمقاربة السوسيوبنائية لتحويل وضعية صعبة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توترات داخل جماعة القسم</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إلى فرصة تعلم جماعي، كما أبرزت لي أهمية ربط الملاحظة الصفية بالسياق السوسيولوجي الأوسع للمتعلمين</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righ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الصعوبات المواجهة</w:t>
      </w:r>
    </w:p>
    <w:p>
      <w:pPr>
        <w:numPr>
          <w:ilvl w:val="0"/>
          <w:numId w:val="6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صعوبة التمييز، في البداية، بين السلوكات الطبيعية المرتبطة بمرحلة المراهقة والسلوكات التي تتطلب تدخلا تربويا فعليا</w:t>
      </w:r>
      <w:r>
        <w:rPr>
          <w:rFonts w:ascii="Arial" w:hAnsi="Arial" w:cs="Arial" w:eastAsia="Arial"/>
          <w:color w:val="auto"/>
          <w:spacing w:val="0"/>
          <w:position w:val="0"/>
          <w:sz w:val="22"/>
          <w:shd w:fill="auto" w:val="clear"/>
        </w:rPr>
        <w:t xml:space="preserve">.</w:t>
      </w:r>
    </w:p>
    <w:p>
      <w:pPr>
        <w:numPr>
          <w:ilvl w:val="0"/>
          <w:numId w:val="6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محدودية المعرفة بالسياق السوسيو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ثقافي الدقيق لكل متعلم، مما يحد من عمق التحليل السوسيولوجي</w:t>
      </w:r>
      <w:r>
        <w:rPr>
          <w:rFonts w:ascii="Arial" w:hAnsi="Arial" w:cs="Arial" w:eastAsia="Arial"/>
          <w:color w:val="auto"/>
          <w:spacing w:val="0"/>
          <w:position w:val="0"/>
          <w:sz w:val="22"/>
          <w:shd w:fill="auto" w:val="clear"/>
        </w:rPr>
        <w:t xml:space="preserve">.</w:t>
      </w:r>
    </w:p>
    <w:p>
      <w:pPr>
        <w:numPr>
          <w:ilvl w:val="0"/>
          <w:numId w:val="64"/>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صعوبة قياس الأثر الفعلي لتقنيات التنشيط المعتمدة على المدى القصير</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righ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سبل التحسين المستقبلية</w:t>
      </w:r>
    </w:p>
    <w:p>
      <w:pPr>
        <w:numPr>
          <w:ilvl w:val="0"/>
          <w:numId w:val="66"/>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تعميق الاطلاع على أدوات تشخيص ديناميكية جماعة القسم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شبكات الملاحظة، السوسيوغرام</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لتحليل أدق للعلاقات بين المتعلمين</w:t>
      </w:r>
      <w:r>
        <w:rPr>
          <w:rFonts w:ascii="Arial" w:hAnsi="Arial" w:cs="Arial" w:eastAsia="Arial"/>
          <w:color w:val="auto"/>
          <w:spacing w:val="0"/>
          <w:position w:val="0"/>
          <w:sz w:val="22"/>
          <w:shd w:fill="auto" w:val="clear"/>
        </w:rPr>
        <w:t xml:space="preserve">.</w:t>
      </w:r>
    </w:p>
    <w:p>
      <w:pPr>
        <w:numPr>
          <w:ilvl w:val="0"/>
          <w:numId w:val="66"/>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التنسيق المنتظم مع الإدارة التربوية والمساعدين الاجتماعيين للحصول على معلومات سياقية حول المتعلمين عند الحاجة</w:t>
      </w:r>
      <w:r>
        <w:rPr>
          <w:rFonts w:ascii="Arial" w:hAnsi="Arial" w:cs="Arial" w:eastAsia="Arial"/>
          <w:color w:val="auto"/>
          <w:spacing w:val="0"/>
          <w:position w:val="0"/>
          <w:sz w:val="22"/>
          <w:shd w:fill="auto" w:val="clear"/>
        </w:rPr>
        <w:t xml:space="preserve">.</w:t>
      </w:r>
    </w:p>
    <w:p>
      <w:pPr>
        <w:numPr>
          <w:ilvl w:val="0"/>
          <w:numId w:val="66"/>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تنويع تقنيات التنشيط بشكل دوري ومنتظم، لا فقط عند ظهور صعوبات، لبناء ديناميكية جماعية إيجابية ومستمرة</w:t>
      </w:r>
      <w:r>
        <w:rPr>
          <w:rFonts w:ascii="Arial" w:hAnsi="Arial" w:cs="Arial" w:eastAsia="Arial"/>
          <w:color w:val="auto"/>
          <w:spacing w:val="0"/>
          <w:position w:val="0"/>
          <w:sz w:val="22"/>
          <w:shd w:fill="auto" w:val="clear"/>
        </w:rPr>
        <w:t xml:space="preserve">.</w:t>
      </w:r>
    </w:p>
    <w:p>
      <w:pPr>
        <w:numPr>
          <w:ilvl w:val="0"/>
          <w:numId w:val="66"/>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ربط أنشطة المعلوميات بشكل ممنهج بمبادئ البيداغوجيا الفارقية لمراعاة الفروق الفردية بين المتعلمين</w:t>
      </w:r>
      <w:r>
        <w:rPr>
          <w:rFonts w:ascii="Arial" w:hAnsi="Arial" w:cs="Arial" w:eastAsia="Arial"/>
          <w:color w:val="auto"/>
          <w:spacing w:val="0"/>
          <w:position w:val="0"/>
          <w:sz w:val="22"/>
          <w:shd w:fill="auto" w:val="clear"/>
        </w:rPr>
        <w:t xml:space="preserve">.</w:t>
      </w:r>
    </w:p>
    <w:p>
      <w:pPr>
        <w:bidi w:val="true"/>
        <w:spacing w:before="320" w:after="200" w:line="240"/>
        <w:ind w:right="0" w:left="0" w:firstLine="0"/>
        <w:jc w:val="righ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الملاحق</w:t>
      </w:r>
    </w:p>
    <w:p>
      <w:pPr>
        <w:numPr>
          <w:ilvl w:val="0"/>
          <w:numId w:val="68"/>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الملحق </w:t>
      </w: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مقتطف من النصوص المرجعية المتعلقة بخصائص مرحلة المراهقة</w:t>
      </w:r>
      <w:r>
        <w:rPr>
          <w:rFonts w:ascii="Arial" w:hAnsi="Arial" w:cs="Arial" w:eastAsia="Arial"/>
          <w:color w:val="auto"/>
          <w:spacing w:val="0"/>
          <w:position w:val="0"/>
          <w:sz w:val="22"/>
          <w:shd w:fill="auto" w:val="clear"/>
        </w:rPr>
        <w:t xml:space="preserve">.</w:t>
      </w:r>
    </w:p>
    <w:p>
      <w:pPr>
        <w:numPr>
          <w:ilvl w:val="0"/>
          <w:numId w:val="68"/>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الملحق </w:t>
      </w:r>
      <w:r>
        <w:rPr>
          <w:rFonts w:ascii="Arial" w:hAnsi="Arial" w:cs="Arial" w:eastAsia="Arial"/>
          <w:color w:val="auto"/>
          <w:spacing w:val="0"/>
          <w:position w:val="0"/>
          <w:sz w:val="22"/>
          <w:shd w:fill="auto" w:val="clear"/>
        </w:rPr>
        <w:t xml:space="preserve">2</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نموذج بطاقة ملاحظة ديناميكية جماعة القسم</w:t>
      </w:r>
      <w:r>
        <w:rPr>
          <w:rFonts w:ascii="Arial" w:hAnsi="Arial" w:cs="Arial" w:eastAsia="Arial"/>
          <w:color w:val="auto"/>
          <w:spacing w:val="0"/>
          <w:position w:val="0"/>
          <w:sz w:val="22"/>
          <w:shd w:fill="auto" w:val="clear"/>
        </w:rPr>
        <w:t xml:space="preserve">.</w:t>
      </w:r>
    </w:p>
    <w:p>
      <w:pPr>
        <w:numPr>
          <w:ilvl w:val="0"/>
          <w:numId w:val="68"/>
        </w:numPr>
        <w:bidi w:val="true"/>
        <w:spacing w:before="0" w:after="60" w:line="240"/>
        <w:ind w:right="720" w:left="0" w:hanging="36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الملحق </w:t>
      </w:r>
      <w:r>
        <w:rPr>
          <w:rFonts w:ascii="Arial" w:hAnsi="Arial" w:cs="Arial" w:eastAsia="Arial"/>
          <w:color w:val="auto"/>
          <w:spacing w:val="0"/>
          <w:position w:val="0"/>
          <w:sz w:val="22"/>
          <w:shd w:fill="auto" w:val="clear"/>
        </w:rPr>
        <w:t xml:space="preserve">3</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مخطط النشاط الجماعي المعدل وفق بيداغوجيا حل المشكلات</w:t>
      </w:r>
      <w:r>
        <w:rPr>
          <w:rFonts w:ascii="Arial" w:hAnsi="Arial" w:cs="Arial" w:eastAsia="Arial"/>
          <w:color w:val="auto"/>
          <w:spacing w:val="0"/>
          <w:position w:val="0"/>
          <w:sz w:val="22"/>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5">
    <w:abstractNumId w:val="42"/>
  </w:num>
  <w:num w:numId="18">
    <w:abstractNumId w:val="36"/>
  </w:num>
  <w:num w:numId="21">
    <w:abstractNumId w:val="30"/>
  </w:num>
  <w:num w:numId="24">
    <w:abstractNumId w:val="24"/>
  </w:num>
  <w:num w:numId="44">
    <w:abstractNumId w:val="18"/>
  </w:num>
  <w:num w:numId="64">
    <w:abstractNumId w:val="12"/>
  </w:num>
  <w:num w:numId="66">
    <w:abstractNumId w:val="6"/>
  </w:num>
  <w:num w:numId="6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