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22"/>
          <w:shd w:fill="auto" w:val="clear"/>
        </w:rPr>
        <w:t xml:space="preserve">ROYAUME DU MAROC</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0"/>
          <w:shd w:fill="auto" w:val="clear"/>
        </w:rPr>
        <w:t xml:space="preserve">Ministère de l'Éducation Nationale, du Préscolaire et des Sports</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0"/>
          <w:shd w:fill="auto" w:val="clear"/>
        </w:rPr>
        <w:t xml:space="preserve">Centre Régional des Métiers de l'Éducation et de la Formation </w:t>
      </w:r>
      <w:r>
        <w:rPr>
          <w:rFonts w:ascii="Calibri" w:hAnsi="Calibri" w:cs="Calibri" w:eastAsia="Calibri"/>
          <w:i/>
          <w:color w:val="auto"/>
          <w:spacing w:val="0"/>
          <w:position w:val="0"/>
          <w:sz w:val="20"/>
          <w:shd w:fill="auto" w:val="clear"/>
        </w:rPr>
        <w:t xml:space="preserve">—</w:t>
      </w:r>
      <w:r>
        <w:rPr>
          <w:rFonts w:ascii="Calibri" w:hAnsi="Calibri" w:cs="Calibri" w:eastAsia="Calibri"/>
          <w:i/>
          <w:color w:val="auto"/>
          <w:spacing w:val="0"/>
          <w:position w:val="0"/>
          <w:sz w:val="20"/>
          <w:shd w:fill="auto" w:val="clear"/>
        </w:rPr>
        <w:t xml:space="preserve"> CRMEF Marrakech-Safi</w:t>
      </w:r>
    </w:p>
    <w:p>
      <w:pPr>
        <w:spacing w:before="80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36"/>
          <w:shd w:fill="auto" w:val="clear"/>
        </w:rPr>
        <w:t xml:space="preserve">RAPPORT DE MODULE DE FORMATION</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2E75B6"/>
          <w:spacing w:val="0"/>
          <w:position w:val="0"/>
          <w:sz w:val="32"/>
          <w:shd w:fill="auto" w:val="clear"/>
        </w:rPr>
        <w:t xml:space="preserve">Didactique de l'Informatique</w:t>
      </w:r>
    </w:p>
    <w:p>
      <w:pPr>
        <w:spacing w:before="40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Filière : Qualification des enseignants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Spécialité Informatique</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Promotion 2025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2026</w:t>
      </w:r>
    </w:p>
    <w:p>
      <w:pPr>
        <w:spacing w:before="0" w:after="4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Encadrante pédagogique : Pr. Serrar</w:t>
      </w:r>
    </w:p>
    <w:p>
      <w:pPr>
        <w:spacing w:before="120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Présenté par :</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6"/>
          <w:shd w:fill="auto" w:val="clear"/>
        </w:rPr>
        <w:t xml:space="preserve">Yassine HAFIDI</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Professeur stagiaire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Enseignement de l'Informatique</w:t>
      </w: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Année de formation : 2025 / 2026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1. Introduction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module « Didactique de l'Informatique » occupe une place centrale dans la formation du professeur stagiaire de la spécialité Informatique : il vise à rendre le bénéficiaire capable de mobiliser ses acquis relatifs à la didactique de l'informatique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notamment ses spécificités épistémologiques, conceptuelles et technologiques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afin de concevoir et de mettre en </w:t>
      </w:r>
      <w:r>
        <w:rPr>
          <w:rFonts w:ascii="Calibri" w:hAnsi="Calibri" w:cs="Calibri" w:eastAsia="Calibri"/>
          <w:color w:val="auto"/>
          <w:spacing w:val="0"/>
          <w:position w:val="0"/>
          <w:sz w:val="22"/>
          <w:shd w:fill="auto" w:val="clear"/>
        </w:rPr>
        <w:t xml:space="preserve">œuvre des situations d'enseignement-apprentissage en informatique au niveau du cycle secondaire, en exploitant les diff</w:t>
      </w:r>
      <w:r>
        <w:rPr>
          <w:rFonts w:ascii="Calibri" w:hAnsi="Calibri" w:cs="Calibri" w:eastAsia="Calibri"/>
          <w:color w:val="auto"/>
          <w:spacing w:val="0"/>
          <w:position w:val="0"/>
          <w:sz w:val="22"/>
          <w:shd w:fill="auto" w:val="clear"/>
        </w:rPr>
        <w:t xml:space="preserve">érentes ressources disponibles tout en adoptant une dimension réflexive.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objectifs du module sont structurés autour de cinq axes : appréhender les aspects épistémologiques de l'informatique (la discipline étant à la fois objet d'enseignement et outil) ; s'approprier le champ didactique et les concepts spécifiques (transposition didactique, contrat didactique, conflit sociocognitif, tétraèdre didactique, etc.) ; acquérir les théories d'apprentissage prenant en compte la dimension numérique et multimédia ; mettre en application des ressources didactiques spécifiques ; et réaliser une analyse didactique des ressources disponibles (curriculum, manuels, ressources numériques).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est directement constitutif du métier d'enseignant d'informatique car il fournit le cadre conceptuel permettant de comprendre pourquoi certains contenus informatiques (par exemple l'algorithmique, la récursivité, ou le passage de paramètres) posent des difficultés spécifiques d'apprentissage, et comment concevoir des situations didactiques qui anticipent et traitent ces difficultés. Sans ce socle didactique, la maîtrise disciplinaire seule ne suffit pas à enseigner efficacement l'informatique.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présent rapport présente les productions réalisées dans le cadre de ce module : fiches pédagogiques intégrant explicitement des concepts didactiques (transposition didactique, obstacles épistémologiques), outils d'analyse didactique de ressources (curriculum, manuels), une mise en situation analysée portant sur un obstacle didactique identifié en classe, ainsi qu'un bilan personnel et des perspectives.</w:t>
      </w: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2. Développement structuré</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 Fiches pédagogiques mobilisant les concepts didactiques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fiches suivantes portent sur une séance d'introduction à la notion de boucle (structure répétitive) en algorithmique, contenu identifié par le syllabus comme porteur de « difficultés relatives à l'enseignement de l'algorithmique » et donc particulièrement propice à une analyse didactique.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A.1. Fiche de séquence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Établissement</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Collège Borj Azzaitoune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Niveau</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3ème Année du cycle Collégial</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Discipline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Informatique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Intitulé de la séquence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Initiation à l'algorithmique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les structures répétitives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Concepts didactiques mobilisés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Transposition didactique, représentations initiales, obstacle épistémologique, conflit sociocognitif</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Durée globale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 séances de 50 minutes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Prérequis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Notion de variable, structures conditionnelles simples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A.2. Fiche de séance analysée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Séance 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 / 3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Pourquoi répéter une instruction ?</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Durée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50 minutes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Objectif spécifique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Identifier la nécessité d'une structure répétitive à partir d'une situation-problème, et distinguer répétition « bornée » et répétition « conditionnelle »</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Transposition didactique opérée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Le savoir savant (structures de contrôle itératives en algorithmique) est transposé en une activité concrète d'« instructions répétées pour un robot imaginaire », accessible sans formalisme préalable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Obstacle anticipé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Confusion entre « répéter N fois » (boucle bornée) et « répéter jusqu'à ce que… » (boucle conditionnelle), obstacle classique identifié dans la littérature didactique de l'algorithmique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Déroulement synthétique de la séance :</w:t>
      </w:r>
    </w:p>
    <w:p>
      <w:pPr>
        <w:numPr>
          <w:ilvl w:val="0"/>
          <w:numId w:val="4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Mise en situation (5 min) : présentation d'une situation-problème (« faire avancer un robot de 10 cases en tapant l'instruction "avancer" 10 fois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peut-on faire plus simple ? »).</w:t>
      </w:r>
    </w:p>
    <w:p>
      <w:pPr>
        <w:numPr>
          <w:ilvl w:val="0"/>
          <w:numId w:val="4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Émergence des représentations initiales (10 min) : recueil des propositions des élèves, généralement formulées en langage naturel (« on dit avance 10 fois »), révélant l'absence spontanée de la notion de structure répétitive formalisée.</w:t>
      </w:r>
    </w:p>
    <w:p>
      <w:pPr>
        <w:numPr>
          <w:ilvl w:val="0"/>
          <w:numId w:val="4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Conflit sociocognitif (10 min) : confrontation de deux propositions d'élèves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l'une utilisant un compteur fixe, l'autre une condition d'arr</w:t>
      </w:r>
      <w:r>
        <w:rPr>
          <w:rFonts w:ascii="Calibri" w:hAnsi="Calibri" w:cs="Calibri" w:eastAsia="Calibri"/>
          <w:color w:val="auto"/>
          <w:spacing w:val="0"/>
          <w:position w:val="0"/>
          <w:sz w:val="22"/>
          <w:shd w:fill="auto" w:val="clear"/>
        </w:rPr>
        <w:t xml:space="preserve">êt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pour faire émerger la distinction entre les deux types de répétition.</w:t>
      </w:r>
    </w:p>
    <w:p>
      <w:pPr>
        <w:numPr>
          <w:ilvl w:val="0"/>
          <w:numId w:val="4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Structuration (15 min) : introduction du vocabulaire algorithmique (« Pour i de 1 à N », « Tant que »), mise en correspondance avec les deux propositions discutées précédemment.</w:t>
      </w:r>
    </w:p>
    <w:p>
      <w:pPr>
        <w:numPr>
          <w:ilvl w:val="0"/>
          <w:numId w:val="4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Application (8 min) : exercice individuel de choix de la structure répétitive adaptée pour deux situations différentes.</w:t>
      </w:r>
    </w:p>
    <w:p>
      <w:pPr>
        <w:numPr>
          <w:ilvl w:val="0"/>
          <w:numId w:val="4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Synthèse (2 min) : bilan oral, identification explicite de l'obstacle traité durant la séance.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A.3. Fiche d'activité élève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Titre de l'activité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Boucle bornée ou boucle conditionnelle ?</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Consigne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Pour chacune des deux situations proposées, indiquez si une structure « Pour » ou une structure « Tant que » est la plus adaptée, et justifiez votre choix</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Modalité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Travail individuel, 8 minutes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Critères de réussite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Choix correct de la structure pour les deux situations ; justification mobilisant le critère « nombre de répétitions connu à l'avance » ou non</w:t>
            </w:r>
          </w:p>
        </w:tc>
      </w:tr>
    </w:tbl>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A.4. Fiche de résolution de problème (analyse didactique de l'obstacle)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Difficulté constatée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Plusieurs élèves utilisent systématiquement la structure « Tant que » même lorsque le nombre de répétitions est connu à l'avance, par sur-généralisation d'un premier exemple traité en classe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Type d'obstacle (cadre didactique)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Obstacle didactique lié au choix de l'exemple introductif (effet de contrat didactique implicite : « la première structure vue est la structure par défaut »)</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Analyse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L'ordre de présentation des deux structures, et le choix de l'exemple introductif, influencent directement les représentations des élèves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confirmant l'importance de la phase de transposition didactique en amont de la s</w:t>
            </w:r>
            <w:r>
              <w:rPr>
                <w:rFonts w:ascii="Calibri" w:hAnsi="Calibri" w:cs="Calibri" w:eastAsia="Calibri"/>
                <w:color w:val="auto"/>
                <w:spacing w:val="0"/>
                <w:position w:val="0"/>
                <w:sz w:val="22"/>
                <w:shd w:fill="auto" w:val="clear"/>
              </w:rPr>
              <w:t xml:space="preserve">éance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Piste de résolution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Introduire systématiquement les deux structures en parallèle, à partir d'un même contexte, en mettant explicitement en avant le critère de choix (nombre de répétitions connu ou non)</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 Supports et outils d'analyse didactique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l'axe « Ressources didactiques pour l'enseignement et l'apprentissage de l'informatique » (curriculum, manuels scolaires, ressources numériques ; étude et analyse didactique des ressources disponibles), les outils suivants ont été élaborés.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B.1. Grille d'analyse didactique d'un manuel scolaire</w:t>
      </w:r>
    </w:p>
    <w:tbl>
      <w:tblPr/>
      <w:tblGrid>
        <w:gridCol w:w="4680"/>
        <w:gridCol w:w="4680"/>
      </w:tblGrid>
      <w:tr>
        <w:trPr>
          <w:trHeight w:val="1" w:hRule="atLeast"/>
          <w:jc w:val="left"/>
        </w:trPr>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Critère d'analyse</w:t>
            </w:r>
          </w:p>
        </w:tc>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Constat sur le chapitre « Algorithmique » du manuel</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Conformité au curriculum officiel</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Conforme ; structures conditionnelles et répétitives présentées dans l'ordre du curriculum</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Prise en compte des représentations initiales</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Absente ; le manuel introduit directement le formalisme sans phase de recueil des représentations</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Présence d'obstacles anticipés et traités</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Partielle ; la confusion boucle bornée / conditionnelle n'est pas explicitement anticipée</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Qualité de la transposition didactique (exemples)</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Bonne ; exemples contextualisés (vie quotidienne), mais peu nombreux pour les structures répétitives</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Intégration de la dimension numérique/multimédia</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Faible ; pas de renvoi vers des ressources numériques complémentaires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B.2. Grille d'analyse du curriculum (extrait </w:t>
      </w:r>
      <w:r>
        <w:rPr>
          <w:rFonts w:ascii="Calibri" w:hAnsi="Calibri" w:cs="Calibri" w:eastAsia="Calibri"/>
          <w:b/>
          <w:color w:val="404040"/>
          <w:spacing w:val="0"/>
          <w:position w:val="0"/>
          <w:sz w:val="23"/>
          <w:shd w:fill="auto" w:val="clear"/>
        </w:rPr>
        <w:t xml:space="preserve">—</w:t>
      </w:r>
      <w:r>
        <w:rPr>
          <w:rFonts w:ascii="Calibri" w:hAnsi="Calibri" w:cs="Calibri" w:eastAsia="Calibri"/>
          <w:b/>
          <w:color w:val="404040"/>
          <w:spacing w:val="0"/>
          <w:position w:val="0"/>
          <w:sz w:val="23"/>
          <w:shd w:fill="auto" w:val="clear"/>
        </w:rPr>
        <w:t xml:space="preserve"> thème algorithmique)</w:t>
      </w:r>
    </w:p>
    <w:tbl>
      <w:tblPr/>
      <w:tblGrid>
        <w:gridCol w:w="3120"/>
        <w:gridCol w:w="3120"/>
        <w:gridCol w:w="3120"/>
      </w:tblGrid>
      <w:tr>
        <w:trPr>
          <w:trHeight w:val="1" w:hRule="atLeast"/>
          <w:jc w:val="left"/>
        </w:trPr>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Concept du curriculum</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Niveau de formulation attendu</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Obstacle didactique associé (littérature)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Variable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Conteneur de valeur modifiable, distinct de l'inconnue mathématique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Confusion avec la variable mathématique (signe « = »)</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Structure conditionnelle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Exécution alternative selon une condition logique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Confusion entre condition simple et condition composée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Structure répétitive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Répétition bornée vs conditionnelle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Sur-généralisation de la première structure vue (cf. A.4)</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Passage de paramètres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Distinction valeur / référence / adresse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Difficulté à distinguer modification locale et globale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B.3. Quiz / cas pratiques d'analyse didactique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Dans le cadre des activités pratiques du module (« analyse didactique des contenus des manuels scolaires et des instructions officielles »), un court questionnaire a été utilisé pour structurer l'analyse collective entre stagiaires :</w:t>
      </w:r>
    </w:p>
    <w:p>
      <w:pPr>
        <w:numPr>
          <w:ilvl w:val="0"/>
          <w:numId w:val="10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contenu correspond-il à un savoir « savant » de l'informatique, ou déjà à une transposition didactique opérée par le curriculum ?</w:t>
      </w:r>
    </w:p>
    <w:p>
      <w:pPr>
        <w:numPr>
          <w:ilvl w:val="0"/>
          <w:numId w:val="10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Quelles représentations initiales des élèves ce contenu est-il susceptible de mobiliser ou de heurter ?</w:t>
      </w:r>
    </w:p>
    <w:p>
      <w:pPr>
        <w:numPr>
          <w:ilvl w:val="0"/>
          <w:numId w:val="10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Quel(s) obstacle(s) épistémologique(s) ou didactique(s) ce contenu peut-il faire émerger ?</w:t>
      </w:r>
    </w:p>
    <w:p>
      <w:pPr>
        <w:numPr>
          <w:ilvl w:val="0"/>
          <w:numId w:val="10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manuel propose-t-il une situation didactique permettant un conflit sociocognitif productif ?</w:t>
      </w:r>
    </w:p>
    <w:p>
      <w:pPr>
        <w:numPr>
          <w:ilvl w:val="0"/>
          <w:numId w:val="10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Quelles ressources numériques pourraient enrichir la transposition didactique de ce contenu ?</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B.4. Cas pratique : analyse croisée entre pairs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cas pratique a été traité en binôme de stagiaires : chacun a analysé, à l'aide de la grille B.1, un chapitre différent du manuel (l'un sur les structures conditionnelles, l'autre sur les structures répétitives), puis les analyses ont été croisées. Ce travail a permis de constater que l'absence de prise en compte des représentations initiales constituait une faiblesse récurrente, non spécifique à un seul chapitre, suggérant un axe de vigilance général pour la conception des séances du stagiaire, indépendamment du contenu traité.</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C. Évaluation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L'évaluation de ce module porte sur la capacité du stagiaire à mobiliser les concepts didactiques (et non sur l'évaluation des apprentissages des élèves en tant que telle, qui relève du module « Évaluation des apprentissages »). Toutefois, la séance décrite en partie A intègre elle-même une évaluation formative des élèves, présentée ci-dessous à titre d'illustration de la mise en application des ressources didactiques.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C.1. Modalités d'évaluation du module (rappel du syllabus)</w:t>
      </w:r>
    </w:p>
    <w:tbl>
      <w:tblPr/>
      <w:tblGrid>
        <w:gridCol w:w="4680"/>
        <w:gridCol w:w="4680"/>
      </w:tblGrid>
      <w:tr>
        <w:trPr>
          <w:trHeight w:val="1" w:hRule="atLeast"/>
          <w:jc w:val="left"/>
        </w:trPr>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Composante</w:t>
            </w:r>
          </w:p>
        </w:tc>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Pondération</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Contrôle continu (analyses didactiques produites, fiches de séance)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25 % de la note globale</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Examen de fin de module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75 % de la note globale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Volume horaire global du module : 34 heures, réparties en 12 heures de cours (35 %), 18 heures d'activités pratiques (53 %, essentiellement analyse et production de documents et supports) et 4 heures d'évaluation (12 %). Ce module présente la plus forte proportion d'heures de cours parmi les modules de la spécialité, reflétant son ancrage théorique fort.</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C.2. Types d'évaluation appliqués dans la séance (illustration A.2)</w:t>
      </w:r>
    </w:p>
    <w:tbl>
      <w:tblPr/>
      <w:tblGrid>
        <w:gridCol w:w="2400"/>
        <w:gridCol w:w="2400"/>
        <w:gridCol w:w="4560"/>
      </w:tblGrid>
      <w:tr>
        <w:trPr>
          <w:trHeight w:val="1" w:hRule="atLeast"/>
          <w:jc w:val="left"/>
        </w:trPr>
        <w:tc>
          <w:tcPr>
            <w:tcW w:w="24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Type</w:t>
            </w:r>
          </w:p>
        </w:tc>
        <w:tc>
          <w:tcPr>
            <w:tcW w:w="24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Moment</w:t>
            </w:r>
          </w:p>
        </w:tc>
        <w:tc>
          <w:tcPr>
            <w:tcW w:w="456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Description</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Diagnostique</w:t>
            </w:r>
          </w:p>
        </w:tc>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Phase 2 (10 min)</w:t>
            </w:r>
          </w:p>
        </w:tc>
        <w:tc>
          <w:tcPr>
            <w:tcW w:w="4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Recueil des représentations initiales des élèves sur la notion de répétition</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Formative</w:t>
            </w:r>
          </w:p>
        </w:tc>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Phase 5 (8 min)</w:t>
            </w:r>
          </w:p>
        </w:tc>
        <w:tc>
          <w:tcPr>
            <w:tcW w:w="4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Exercice de fiche A.3, avec correction immédiate orientant vers une remédiation ciblée</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Sommative</w:t>
            </w:r>
          </w:p>
        </w:tc>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Fin de séquence (séance 3)</w:t>
            </w:r>
          </w:p>
        </w:tc>
        <w:tc>
          <w:tcPr>
            <w:tcW w:w="4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Exercice noté de programmation d'un algorithme utilisant la structure répétitive appropriée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C.3. Items d'évaluation et grille de correction (fiche A.3)</w:t>
      </w:r>
    </w:p>
    <w:p>
      <w:pPr>
        <w:numPr>
          <w:ilvl w:val="0"/>
          <w:numId w:val="13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Situation 1 : « afficher les nombres de 1 à 20 »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structure attendue : « Pour » (répétition bornée, nombre connu).</w:t>
      </w:r>
    </w:p>
    <w:p>
      <w:pPr>
        <w:numPr>
          <w:ilvl w:val="0"/>
          <w:numId w:val="13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Situation 2 : « demander un mot de passe jusqu'à ce qu'il soit correct »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structure attendue : « Tant que » (répétition conditionnelle, nombre inconnu à l'avance).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Grille de correction : 1 point par choix correct de structure (2 points), 1 point par justification mobilisant explicitement le critère « nombre de répétitions connu / inconnu » (2 points). Total sur 4 points.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C.4. Soutien et remédiation : activités différenciées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Pour les élèves ayant maintenu, après la phase de structuration, une confusion entre les deux structures (diagnostiquée via l'exercice A.3), la remédiation ciblée proposée est la suivante :</w:t>
      </w:r>
    </w:p>
    <w:p>
      <w:pPr>
        <w:numPr>
          <w:ilvl w:val="0"/>
          <w:numId w:val="14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reprise individualisée à partir d'un tableau de comparaison visuel (deux colonnes : « je sais combien de fois » / « je ne sais pas combien de fois »), permettant d'ancrer le critère de choix avant le formalisme ;</w:t>
      </w:r>
    </w:p>
    <w:p>
      <w:pPr>
        <w:numPr>
          <w:ilvl w:val="0"/>
          <w:numId w:val="14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activité de tri : classement de 6 situations concrètes dans l'une ou l'autre colonne, avant tout codage ;</w:t>
      </w:r>
    </w:p>
    <w:p>
      <w:pPr>
        <w:numPr>
          <w:ilvl w:val="0"/>
          <w:numId w:val="14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évaluation reconstruite : nouvel exercice isomorphe à la fiche A.3 mais avec des situations différentes, permettant de vérifier le transfert sans effet de mémorisation de la réponse.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Évaluation reconstruite après remédiation (exemple) :</w:t>
      </w:r>
    </w:p>
    <w:p>
      <w:pPr>
        <w:numPr>
          <w:ilvl w:val="0"/>
          <w:numId w:val="14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Situation 1 : « afficher la table de multiplication de 7 »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réponse attendue : « Pour » (7×1 à 7×10, nombre connu).</w:t>
      </w:r>
    </w:p>
    <w:p>
      <w:pPr>
        <w:numPr>
          <w:ilvl w:val="0"/>
          <w:numId w:val="14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Situation 2 : « tirer une carte au hasard jusqu'à obtenir un as »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réponse attendue : « Tant que » (nombre de tirages inconnu).</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 Mise en situation / Analyse de pratique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D.1. Exemple d'une séance analysée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séance analysée est la séance n° 1 décrite en A.2. L'événement marquant concerne la phase de conflit sociocognitif (étape 3) : la confrontation des deux propositions d'élèves a duré 15 minutes au lieu des 10 minutes prévues, car un troisième élève a proposé une formulation hybride (« on répète tant qu'on n'a pas avancé 10 fois »), qui mélangeait les deux critères et a relancé le débat de manière imprévue.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Analyse selon la démarche : Observation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Problématisation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Analyse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Conceptualisation :</w:t>
      </w:r>
    </w:p>
    <w:p>
      <w:pPr>
        <w:numPr>
          <w:ilvl w:val="0"/>
          <w:numId w:val="14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 : la proposition « hybride » d'un élève, non anticipée dans la préparation de séance, a généré un débat riche mais a décalé le minutage de la séance de 5 minutes, réduisant la phase d'application (étape 5) de 8 à 3 minutes.</w:t>
      </w:r>
    </w:p>
    <w:p>
      <w:pPr>
        <w:numPr>
          <w:ilvl w:val="0"/>
          <w:numId w:val="14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Problématisation : comment exploiter une proposition d'élève imprévue, didactiquement riche, sans compromettre l'atteinte de l'objectif de séance dans le temps imparti ?</w:t>
      </w:r>
    </w:p>
    <w:p>
      <w:pPr>
        <w:numPr>
          <w:ilvl w:val="0"/>
          <w:numId w:val="14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Analyse : sur le plan didactique, la proposition « hybride » constitue en réalité une verbalisation spontanée de l'obstacle ciblé par la séance (confusion entre les deux critères de répétition)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elle représente donc une opportunité pédagogique de premier ordre, non un simple aléa de gestion du temps. La fiche de préparation initiale ne prévoyait pas ce cas, alors que le cadre théorique du module (représentations initiales, conflit sociocognitif) permettait précisément de l'anticiper comme une variante probable.</w:t>
      </w:r>
    </w:p>
    <w:p>
      <w:pPr>
        <w:numPr>
          <w:ilvl w:val="0"/>
          <w:numId w:val="14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Conceptualisation / pistes alternatives : intégrer explicitement, dans la fiche de préparation, une « banque de réponses anticipées » incluant les formulations hybrides probables, avec un temps de débat prévu en consé­quence (15 minutes plutôt que 10) ; en contrepartie, alléger la phase de structuration (étape 4) de 15 à 10 minutes, celle-ci pouvant s'appuyer directement sur le débat venant d'avoir lieu.</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D.2. Résolution du problème professionnel</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résolution mise en </w:t>
      </w:r>
      <w:r>
        <w:rPr>
          <w:rFonts w:ascii="Calibri" w:hAnsi="Calibri" w:cs="Calibri" w:eastAsia="Calibri"/>
          <w:color w:val="auto"/>
          <w:spacing w:val="0"/>
          <w:position w:val="0"/>
          <w:sz w:val="22"/>
          <w:shd w:fill="auto" w:val="clear"/>
        </w:rPr>
        <w:t xml:space="preserve">œuvre, lors du r</w:t>
      </w:r>
      <w:r>
        <w:rPr>
          <w:rFonts w:ascii="Calibri" w:hAnsi="Calibri" w:cs="Calibri" w:eastAsia="Calibri"/>
          <w:color w:val="auto"/>
          <w:spacing w:val="0"/>
          <w:position w:val="0"/>
          <w:sz w:val="22"/>
          <w:shd w:fill="auto" w:val="clear"/>
        </w:rPr>
        <w:t xml:space="preserve">éinvestissement avec un autre groupe-classe, a consisté à modifier le minutage prévisionnel de la fiche de séance : conflit sociocognitif porté à 15 minutes (avec anticipation explicite de la proposition hybride dans la préparation), structuration réduite à 10 minutes (en s'appuyant sur les arguments déjà formulés par les élèves durant le débat), ce qui a permis de conserver les 8 minutes initialement prévues pour la phase d'application.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Résultats observés lors du réinvestissement : la phase de structuration, bien que réduite de 5 minutes, a été perçue comme plus efficace, car elle reprenait directement le vocabulaire des élèves issu du débat plutôt que d'introduire un vocabulaire nouveau ex nihilo. Le taux de réussite à l'exercice A.3 (critère « justification correcte ») est passé d'environ 60 % (séance initiale) à environ 80 % (réinvestissement), sur la base d'un comptage des copies des deux groupes.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D.3. Auto-évaluation du stagiaire</w:t>
      </w:r>
    </w:p>
    <w:tbl>
      <w:tblPr/>
      <w:tblGrid>
        <w:gridCol w:w="3120"/>
        <w:gridCol w:w="3120"/>
        <w:gridCol w:w="3120"/>
      </w:tblGrid>
      <w:tr>
        <w:trPr>
          <w:trHeight w:val="1" w:hRule="atLeast"/>
          <w:jc w:val="left"/>
        </w:trPr>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Dimension</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Constat</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Axe de vigilance pour la suite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Anticipation didactique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Représentations « hybrides » non anticipées initialement, malgré le cadre théorique disponible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Systématiser une « banque de réponses anticipées » dans chaque fiche de préparation</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Gestion du temps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Réallocation réussie entre phases lors du réinvestissement</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Prévoir des plages « élastiques » dès la conception, plutôt qu'en réaction</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Mobilisation des concepts didactiques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Identification correcte de l'obstacle a posteriori</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Renforcer l'usage des concepts (transposition, contrat didactique) dès la phase de conception, et non seulement d'analyse</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3. Conclusion et perspectives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Bilan personnel du stagiaire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module de Didactique de l'Informatique a fourni au stagiaire un cadre conceptuel qui, avant cette formation, restait largement implicite dans sa pratique : la notion de transposition didactique, l'attention portée aux représentations initiales des élèves, et la prise en compte des obstacles épistémologiques propres à l'algorithmique se sont révélées des outils d'analyse extrêmement opérants pour comprendre des situations de classe qui, autrement, auraient été interprétées comme de simples « incidents » de gestion de classe ou de manque de niveau des élèves.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L'analyse didactique des ressources existantes (manuel, curriculum) a également permis de prendre conscience que les supports disponibles, bien que conformes au curriculum, ne traitent pas systématiquement les obstacles didactiques connus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ce qui place le stagiaire en position de devoir compléter, et non simplement appliquer, les ressources fournies. Cette posture rejoint directement les acquis du module « Atelier de production didactique ».</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Difficultés rencontrées</w:t>
      </w:r>
    </w:p>
    <w:p>
      <w:pPr>
        <w:numPr>
          <w:ilvl w:val="0"/>
          <w:numId w:val="16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Difficulté initiale à distinguer les concepts didactiques proches (obstacle épistémologique vs obstacle didactique, contrat didactique vs transposition didactique), nécessitant plusieurs relectures et exemples concrets pour une appropriation solide.</w:t>
      </w:r>
    </w:p>
    <w:p>
      <w:pPr>
        <w:numPr>
          <w:ilvl w:val="0"/>
          <w:numId w:val="16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Tendance, en début de formation, à analyser les situations de classe a posteriori sans mobiliser explicitement le vocabulaire didactique, ce qui limitait la portée généralisable de l'analyse.</w:t>
      </w:r>
    </w:p>
    <w:p>
      <w:pPr>
        <w:numPr>
          <w:ilvl w:val="0"/>
          <w:numId w:val="16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Gestion du temps en classe lorsque les représentations des élèves divergent de ce qui était anticipé (cf. partie D).</w:t>
      </w:r>
    </w:p>
    <w:p>
      <w:pPr>
        <w:numPr>
          <w:ilvl w:val="0"/>
          <w:numId w:val="16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Manque de ressources numériques complémentaires identifiées lors de l'analyse du manuel (axe B.1), nécessitant un travail de recherche personnel supplémentaire.</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Axes d'amélioration</w:t>
      </w:r>
    </w:p>
    <w:p>
      <w:pPr>
        <w:numPr>
          <w:ilvl w:val="0"/>
          <w:numId w:val="16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Intégrer systématiquement, dans toute fiche de préparation future, une section explicite « représentations initiales attendues et obstacles potentiels », en s'appuyant sur la grille B.2.</w:t>
      </w:r>
    </w:p>
    <w:p>
      <w:pPr>
        <w:numPr>
          <w:ilvl w:val="0"/>
          <w:numId w:val="16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Constituer une fiche-mémo personnelle recensant les principaux concepts didactiques du module (transposition, contrat, conflit sociocognitif, tétraèdre didactique) avec un exemple concret tiré de l'informatique pour chacun, afin d'en faciliter la mobilisation en situation.</w:t>
      </w:r>
    </w:p>
    <w:p>
      <w:pPr>
        <w:numPr>
          <w:ilvl w:val="0"/>
          <w:numId w:val="16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Compléter l'analyse didactique du manuel scolaire (B.1) par une recherche de ressources numériques complémentaires pour les chapitres identifiés comme faibles sur ce critère.</w:t>
      </w:r>
    </w:p>
    <w:p>
      <w:pPr>
        <w:numPr>
          <w:ilvl w:val="0"/>
          <w:numId w:val="16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Poursuivre les analyses croisées entre pairs (B.4) en élargissant à d'autres chapitres du curriculum, afin de constituer progressivement une cartographie des obstacles didactiques propres à l'enseignement de l'informatique au collège.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4. Annexes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1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Lexique des concepts didactiques mobilisés</w:t>
      </w:r>
    </w:p>
    <w:p>
      <w:pPr>
        <w:numPr>
          <w:ilvl w:val="0"/>
          <w:numId w:val="17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Transposition didactique : processus de transformation d'un savoir savant en savoir enseignable.</w:t>
      </w:r>
    </w:p>
    <w:p>
      <w:pPr>
        <w:numPr>
          <w:ilvl w:val="0"/>
          <w:numId w:val="17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Contrat didactique : ensemble des attentes réciproques implicites entre enseignant et élèves.</w:t>
      </w:r>
    </w:p>
    <w:p>
      <w:pPr>
        <w:numPr>
          <w:ilvl w:val="0"/>
          <w:numId w:val="17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Conflit sociocognitif : confrontation entre représentations divergentes favorisant l'apprentissage.</w:t>
      </w:r>
    </w:p>
    <w:p>
      <w:pPr>
        <w:numPr>
          <w:ilvl w:val="0"/>
          <w:numId w:val="17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Obstacle épistémologique : difficulté inhérente à la nature même du savoir.</w:t>
      </w:r>
    </w:p>
    <w:p>
      <w:pPr>
        <w:numPr>
          <w:ilvl w:val="0"/>
          <w:numId w:val="17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Obstacle didactique : difficulté liée aux choix d'enseignement (exemples, ordre de présentation).</w:t>
      </w:r>
    </w:p>
    <w:p>
      <w:pPr>
        <w:numPr>
          <w:ilvl w:val="0"/>
          <w:numId w:val="17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Tétraèdre didactique : modèle reliant savoir, enseignant, élève et milieu/outils numériques.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2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Modèle vierge de grille d'analyse didactique d'une ressource</w:t>
      </w:r>
    </w:p>
    <w:p>
      <w:pPr>
        <w:numPr>
          <w:ilvl w:val="0"/>
          <w:numId w:val="17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Conformité au curriculum officiel</w:t>
      </w:r>
    </w:p>
    <w:p>
      <w:pPr>
        <w:numPr>
          <w:ilvl w:val="0"/>
          <w:numId w:val="17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Prise en compte des représentations initiales</w:t>
      </w:r>
    </w:p>
    <w:p>
      <w:pPr>
        <w:numPr>
          <w:ilvl w:val="0"/>
          <w:numId w:val="17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Obstacles anticipés et traités</w:t>
      </w:r>
    </w:p>
    <w:p>
      <w:pPr>
        <w:numPr>
          <w:ilvl w:val="0"/>
          <w:numId w:val="17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Qualité de la transposition didactique (exemples, contextualisation)</w:t>
      </w:r>
    </w:p>
    <w:p>
      <w:pPr>
        <w:numPr>
          <w:ilvl w:val="0"/>
          <w:numId w:val="17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Intégration de la dimension numérique / multimédia</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3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Capture d'</w:t>
      </w:r>
      <w:r>
        <w:rPr>
          <w:rFonts w:ascii="Calibri" w:hAnsi="Calibri" w:cs="Calibri" w:eastAsia="Calibri"/>
          <w:b/>
          <w:color w:val="2E75B6"/>
          <w:spacing w:val="0"/>
          <w:position w:val="0"/>
          <w:sz w:val="26"/>
          <w:shd w:fill="auto" w:val="clear"/>
        </w:rPr>
        <w:t xml:space="preserve">écran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Capture du tableau de comparaison utilisé lors de la phase de structuration (étape 4), affiché au tableau, mettant en regard la formulation algorithmique « Pour i de 1 à N » et « Tant que condition », chacune associée à un exemple issu du débat des élèves.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4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Exemple de production d'</w:t>
      </w:r>
      <w:r>
        <w:rPr>
          <w:rFonts w:ascii="Calibri" w:hAnsi="Calibri" w:cs="Calibri" w:eastAsia="Calibri"/>
          <w:b/>
          <w:color w:val="2E75B6"/>
          <w:spacing w:val="0"/>
          <w:position w:val="0"/>
          <w:sz w:val="26"/>
          <w:shd w:fill="auto" w:val="clear"/>
        </w:rPr>
        <w:t xml:space="preserve">élève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Copie d'un élève à l'exercice de la fiche A.3 (avant remédiation), montrant un choix correct pour la situation 1 mais une justification incomplète pour la situation 2 (« parce que c'est différent », sans mention du critère « nombre de répétitions inconnu »)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exemple représentatif ayant motivé la conception de l'activité de tri proposée en remédiation (partie C.4).</w:t>
      </w: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0">
    <w:lvl w:ilvl="0">
      <w:start w:val="1"/>
      <w:numFmt w:val="bullet"/>
      <w:lvlText w:val="•"/>
    </w:lvl>
  </w:abstractNum>
  <w:abstractNum w:abstractNumId="7">
    <w:lvl w:ilvl="0">
      <w:start w:val="1"/>
      <w:numFmt w:val="decimal"/>
      <w:lvlText w:val="%1."/>
    </w:lvl>
  </w:abstractNum>
  <w:abstractNum w:abstractNumId="6">
    <w:lvl w:ilvl="0">
      <w:start w:val="1"/>
      <w:numFmt w:val="bullet"/>
      <w:lvlText w:val="•"/>
    </w:lvl>
  </w:abstractNum>
  <w:abstractNum w:abstractNumId="12">
    <w:lvl w:ilvl="0">
      <w:start w:val="1"/>
      <w:numFmt w:val="bullet"/>
      <w:lvlText w:val="•"/>
    </w:lvl>
  </w:abstractNum>
  <w:abstractNum w:abstractNumId="13">
    <w:lvl w:ilvl="0">
      <w:start w:val="1"/>
      <w:numFmt w:val="decimal"/>
      <w:lvlText w:val="%1."/>
    </w:lvl>
  </w:abstractNum>
  <w:abstractNum w:abstractNumId="18">
    <w:lvl w:ilvl="0">
      <w:start w:val="1"/>
      <w:numFmt w:val="bullet"/>
      <w:lvlText w:val="•"/>
    </w:lvl>
  </w:abstractNum>
  <w:abstractNum w:abstractNumId="19">
    <w:lvl w:ilvl="0">
      <w:start w:val="1"/>
      <w:numFmt w:val="decimal"/>
      <w:lvlText w:val="%1."/>
    </w:lvl>
  </w:abstractNum>
  <w:abstractNum w:abstractNumId="24">
    <w:lvl w:ilvl="0">
      <w:start w:val="1"/>
      <w:numFmt w:val="bullet"/>
      <w:lvlText w:val="•"/>
    </w:lvl>
  </w:abstractNum>
  <w:abstractNum w:abstractNumId="30">
    <w:lvl w:ilvl="0">
      <w:start w:val="1"/>
      <w:numFmt w:val="bullet"/>
      <w:lvlText w:val="•"/>
    </w:lvl>
  </w:abstractNum>
  <w:num w:numId="49">
    <w:abstractNumId w:val="19"/>
  </w:num>
  <w:num w:numId="107">
    <w:abstractNumId w:val="30"/>
  </w:num>
  <w:num w:numId="136">
    <w:abstractNumId w:val="13"/>
  </w:num>
  <w:num w:numId="140">
    <w:abstractNumId w:val="24"/>
  </w:num>
  <w:num w:numId="142">
    <w:abstractNumId w:val="18"/>
  </w:num>
  <w:num w:numId="147">
    <w:abstractNumId w:val="7"/>
  </w:num>
  <w:num w:numId="166">
    <w:abstractNumId w:val="12"/>
  </w:num>
  <w:num w:numId="168">
    <w:abstractNumId w:val="1"/>
  </w:num>
  <w:num w:numId="172">
    <w:abstractNumId w:val="6"/>
  </w:num>
  <w:num w:numId="17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