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Gestion des Apprentissages 1</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Mme Tamri</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Gestion des apprentissages 1 » vise à rendre le bénéficiaire capable de gérer et de mettre en </w:t>
      </w:r>
      <w:r>
        <w:rPr>
          <w:rFonts w:ascii="Calibri" w:hAnsi="Calibri" w:cs="Calibri" w:eastAsia="Calibri"/>
          <w:color w:val="auto"/>
          <w:spacing w:val="0"/>
          <w:position w:val="0"/>
          <w:sz w:val="22"/>
          <w:shd w:fill="auto" w:val="clear"/>
        </w:rPr>
        <w:t xml:space="preserve">œuvre les activit</w:t>
      </w:r>
      <w:r>
        <w:rPr>
          <w:rFonts w:ascii="Calibri" w:hAnsi="Calibri" w:cs="Calibri" w:eastAsia="Calibri"/>
          <w:color w:val="auto"/>
          <w:spacing w:val="0"/>
          <w:position w:val="0"/>
          <w:sz w:val="22"/>
          <w:shd w:fill="auto" w:val="clear"/>
        </w:rPr>
        <w:t xml:space="preserve">és d'enseignement-apprentissage préalablement planifiées, en mobilisant les ressources relatives aux approches pédagogiques et aux concepts didactiques propres à l'informatique. Contrairement au module « Gestion des apprentissages 2 », centré sur l'organisation matérielle et le climat de la salle, ce module porte sur la dimension pédagogique et didactique de la conduite de séance : comment piloter, en situation réelle, les différents types de situations d'enseignement-apprentissage prévues par l'approche par compétences.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se déclinent en trois axes : s'approprier les principes qui régissent la gestion des apprentissages dans le cadre d'une séquence d'enseignement, en adoptant différentes approches pédagogiques ; gérer des situations et actes d'enseignement en tenant compte de la didactique et des spécificités de l'enseignement de l'informatique ; et exploiter les outils TIC dans la gestion des situations d'enseignement-apprentissage.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 le plan des contenus, le module distingue plusieurs types de situations à gérer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situations d'exploration, situations didactiques, situations d'</w:t>
      </w:r>
      <w:r>
        <w:rPr>
          <w:rFonts w:ascii="Calibri" w:hAnsi="Calibri" w:cs="Calibri" w:eastAsia="Calibri"/>
          <w:color w:val="auto"/>
          <w:spacing w:val="0"/>
          <w:position w:val="0"/>
          <w:sz w:val="22"/>
          <w:shd w:fill="auto" w:val="clear"/>
        </w:rPr>
        <w:t xml:space="preserve">évaluation, travaux pratiques, situations complexes, situations intégrant les TIC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et insiste sur la capacité du stagiaire à expliciter l'articulation entre ces différentes situations au sein d'une même séance. Le module aborde également les styles d'enseignement et d'apprentissage ainsi que les méthodes pédagogiques, avec un accent particulier sur la méthode démonstrative, jugée centrale pour l'enseignement de l'informatique, notamment dans les travaux pratiques.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entretient un lien direct avec le métier d'enseignant : une séance bien planifiée (module « Planification ») ne garantit pas, à elle seule, une bonne gestion en situation réelle. La capacité à enchaîner de manière cohérente une situation d'exploration, une situation didactique et une situation de travaux pratiques, en gérant les transitions et en explicitant le lien entre elles pour les élèves, constitue une compétence professionnelle à part entière, distincte de la conception amont.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les productions réalisées : fiches pédagogiques articulant explicitement les différents types de situations, outils d'analyse de l'articulation entre situations, une mise en situation analysée portant sur la gestion d'une transition entre situations, ainsi qu'un bilan personnel et des perspectives.</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articulant les types de situations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fiches suivantes portent sur une séance articulant trois types de situations identifiés par le syllabus : situation d'exploration, situation didactique, et travaux pratiques, sur le thème des fonctions en algorithmique.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Notion de fonction en algorithmique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Approche pédagogique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color w:val="auto"/>
                <w:spacing w:val="0"/>
                <w:position w:val="0"/>
                <w:sz w:val="22"/>
              </w:rPr>
            </w:pPr>
            <w:r>
              <w:rPr>
                <w:rFonts w:ascii="Calibri" w:hAnsi="Calibri" w:cs="Calibri" w:eastAsia="Calibri"/>
                <w:color w:val="auto"/>
                <w:spacing w:val="0"/>
                <w:position w:val="0"/>
                <w:sz w:val="22"/>
                <w:shd w:fill="auto" w:val="clear"/>
              </w:rPr>
              <w:t xml:space="preserve">Approche par compétences ; articulation exploration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situation didactique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travaux pratiques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séances de 50 minutes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analysée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articulation de trois situations</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 la situation à la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Définir et appeler une fonction simple permettant d'éviter la répétition d'un bloc d'instructions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Situation 1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Exploration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Observation d'un algorithme répétant 3 fois le même bloc de calcul, avec consigne « que remarquez-vous ?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Situation 2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Didactique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Introduction guidée du concept de fonction, à partir des observations de la situation 1 (méthode démonstrative)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Situation 3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Travaux pratiques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Réécriture, en binômes, de l'algorithme initial en utilisant une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Lien explicité aux élèves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Vous avez remarqué une répétition (situation 1) ; nous avons vu comment l'éviter avec une fonction (situation 2) ; vous allez maintenant l'appliquer (situation 3) »</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d'exploration (10 min) : projection d'un algorithme avec un bloc de calcul répété 3 fois ; question ouverte « que remarquez-vous dans cet algorithme ? ».</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commun des observations (5 min) : recueil des remarques des élèves (répétition, risque d'erreur de copie, lourdeur).</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didactique (15 min) : démonstration au tableau de la définition et de l'appel d'une fonction, en reprenant explicitement le bloc répété identifié en situation 1 (méthode démonstrative).</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Transition explicite (2 min) : reformulation orale du lien entre les trois situations (cf. tableau ci-dessus).</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Travaux pratiques en binômes (15 min) : réécriture de l'algorithme avec une fonction, sur poste informatique.</w:t>
      </w:r>
    </w:p>
    <w:p>
      <w:pPr>
        <w:numPr>
          <w:ilvl w:val="0"/>
          <w:numId w:val="5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Bilan (3 min) : retour sur l'articulation des trois situations vécues durant la séance.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 (situation de travaux pratiques)</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 la répétition à la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Reprenez l'algorithme projeté en début de séance et réécrivez-le en définissant une fonction pour le bloc répété, que vous appellerez 3 fois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Binômes, 15 minutes, sur poste 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Critères de réussite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Fonction correctement définie (en-tête, corps) ; 3 appels corrects ; résultat identique à l'algorithme initial</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professionnel</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Problème identifié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Lors d'une séance antérieure articulant également plusieurs situations, plusieurs élèves n'avaient pas perçu le lien entre la situation d'exploration et la situation de travaux pratiques, perçues comme deux activités indépendantes (« on a fait deux exercices différents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 des causes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 lien entre les situations était présent dans la préparation de l'enseignant mais n'avait pas été explicité oralement aux élèves au moment des transitions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Pistes de résolution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Introduction d'une « phrase de transition » systématique entre chaque situation, reformulant explicitement le lien (cf. ligne « Lien explicité aux élèves » du tableau A.2)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Résultat attendu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Perception par les élèves d'une séance cohérente et progressive, plutôt que d'une succession d'activités déconnectées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de gestion des situations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axes du syllabus (gestion des différents types de situations ; styles et méthodes pédagogiques ; TIC), les outils suivants ont été élaborés.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Grille d'analyse de l'articulation des situations dans une séance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grille permet d'analyser, pour une séance donnée, la présence, la durée et la qualité de l'articulation entre les différents types de situations prévus par le syllabus.</w:t>
      </w:r>
    </w:p>
    <w:tbl>
      <w:tblPr/>
      <w:tblGrid>
        <w:gridCol w:w="2800"/>
        <w:gridCol w:w="2000"/>
        <w:gridCol w:w="1280"/>
        <w:gridCol w:w="300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Type de situation (syllabus)</w:t>
            </w:r>
          </w:p>
        </w:tc>
        <w:tc>
          <w:tcPr>
            <w:tcW w:w="20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Présente dans la séance A.2 ?</w:t>
            </w:r>
          </w:p>
        </w:tc>
        <w:tc>
          <w:tcPr>
            <w:tcW w:w="12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w:t>
            </w:r>
          </w:p>
        </w:tc>
        <w:tc>
          <w:tcPr>
            <w:tcW w:w="30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Modalité de transition vers la situation suivante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d'exploration</w:t>
            </w:r>
          </w:p>
        </w:tc>
        <w:tc>
          <w:tcPr>
            <w:tcW w:w="2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Oui</w:t>
            </w:r>
          </w:p>
        </w:tc>
        <w:tc>
          <w:tcPr>
            <w:tcW w:w="1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 min</w:t>
            </w:r>
          </w:p>
        </w:tc>
        <w:tc>
          <w:tcPr>
            <w:tcW w:w="3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Mise en commun orale des observations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didactique</w:t>
            </w:r>
          </w:p>
        </w:tc>
        <w:tc>
          <w:tcPr>
            <w:tcW w:w="2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Oui</w:t>
            </w:r>
          </w:p>
        </w:tc>
        <w:tc>
          <w:tcPr>
            <w:tcW w:w="1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 min</w:t>
            </w:r>
          </w:p>
        </w:tc>
        <w:tc>
          <w:tcPr>
            <w:tcW w:w="3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Phrase de transition explicite (cf. A.4)</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de travaux pratiques</w:t>
            </w:r>
          </w:p>
        </w:tc>
        <w:tc>
          <w:tcPr>
            <w:tcW w:w="2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Oui</w:t>
            </w:r>
          </w:p>
        </w:tc>
        <w:tc>
          <w:tcPr>
            <w:tcW w:w="1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 min</w:t>
            </w:r>
          </w:p>
        </w:tc>
        <w:tc>
          <w:tcPr>
            <w:tcW w:w="3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Bilan final reliant les 3 situations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d'évaluation</w:t>
            </w:r>
          </w:p>
        </w:tc>
        <w:tc>
          <w:tcPr>
            <w:tcW w:w="2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Non (prévue séance 3)</w:t>
            </w:r>
          </w:p>
        </w:tc>
        <w:tc>
          <w:tcPr>
            <w:tcW w:w="1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3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complexe</w:t>
            </w:r>
          </w:p>
        </w:tc>
        <w:tc>
          <w:tcPr>
            <w:tcW w:w="2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Non</w:t>
            </w:r>
          </w:p>
        </w:tc>
        <w:tc>
          <w:tcPr>
            <w:tcW w:w="12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c>
          <w:tcPr>
            <w:tcW w:w="3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Tableau de correspondance styles / méthodes pédagogiques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Styles d'enseignement, styles d'apprentissage et méthodes pédagogiques », ce tableau met en relation les méthodes pédagogiques mobilisées dans la séance A.2 avec les styles d'apprentissage qu'elles sollicitent, en mettant l'accent sur la méthode démonstrative, identifiée par le syllabus comme centrale en informatique.</w:t>
      </w:r>
    </w:p>
    <w:tbl>
      <w:tblPr/>
      <w:tblGrid>
        <w:gridCol w:w="2800"/>
        <w:gridCol w:w="2880"/>
        <w:gridCol w:w="340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Méthode pédagogique</w:t>
            </w:r>
          </w:p>
        </w:tc>
        <w:tc>
          <w:tcPr>
            <w:tcW w:w="28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Situation correspondante (A.2)</w:t>
            </w:r>
          </w:p>
        </w:tc>
        <w:tc>
          <w:tcPr>
            <w:tcW w:w="3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Style d'apprentissage sollicité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Méthode active / découverte</w:t>
            </w:r>
          </w:p>
        </w:tc>
        <w:tc>
          <w:tcPr>
            <w:tcW w:w="2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d'exploration</w:t>
            </w:r>
          </w:p>
        </w:tc>
        <w:tc>
          <w:tcPr>
            <w:tcW w:w="3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Apprenant actif, observation, formulation d'hypothèses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Méthode démonstrative</w:t>
            </w:r>
          </w:p>
        </w:tc>
        <w:tc>
          <w:tcPr>
            <w:tcW w:w="2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Situation didactique</w:t>
            </w:r>
          </w:p>
        </w:tc>
        <w:tc>
          <w:tcPr>
            <w:tcW w:w="3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Apprenant observateur, suivi pas-à-pas de la démonstration au tableau</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Méthode active / application</w:t>
            </w:r>
          </w:p>
        </w:tc>
        <w:tc>
          <w:tcPr>
            <w:tcW w:w="2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Travaux pratiques</w:t>
            </w:r>
          </w:p>
        </w:tc>
        <w:tc>
          <w:tcPr>
            <w:tcW w:w="3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Apprenant manipulateur, transfert immédiat sur poste informatique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Outil TIC : capture commentée pour la situation didactique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Outil utilisé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Logiciel de capture d'écran annoté, utilisé en direct pendant la démonstration (situation 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Usage pédagogique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Capture de l'algorithme de la situation 1, annotation en direct (encadrement du bloc répété, ajout de l'en-tête de fonction) projetée à la classe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Lien avec la gestion des situations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Permet de matérialiser visuellement le lien entre situation 1 (le bloc répété, identifié à l'écran) et situation 2 (sa transformation en fonction), renforçant la transition explicitée à l'oral</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entre pairs (situation complexe)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 nécessité de « gérer des situations complexes » prévue par le syllabus, un cas pratique a été élaboré et analysé en binôme de stagiaires : une situation complexe combinant la notion de fonction (vue en A.2) et la notion de structure conditionnelle (vue dans le module Didactique), sous la forme d'un mini-projet « calculatrice de mentions scolaires » mobilisant à la fois une fonction et une structure conditionnelle imbriquée. L'analyse croisée a permis d'identifier que la gestion d'une situation complexe nécessite, plus encore que pour une situation simple, l'explicitation des « sous-situations » qui la composent, sous peine de perte de repères pour les élèves.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porte sur la capacité du stagiaire à gérer des situations d'enseignement-apprentissage et non directement sur l'évaluation des élèves (qui relève du module spécifique). Néanmoins, la séance A.2 prévoit, en séance 3, une situation d'évaluation dont les principes sont présentés ci-dessous à titre d'illustration de l'articulation des situations.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Contrôle continu (productions : grilles d'articulation, fiches de séance)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(12 heures de cours, 35 % ; 18 heures d'activités pratiques, 53 %, essentiellement analyse et production de documents et supports ; 4 heures d'évaluation, 12 %). Ce module présente, comme le module Didactique, une proportion d'heures de cours supérieure à la moyenne des modules de la spécialité.</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Principes de la situation d'évaluation (séance 3, illustration)</w:t>
      </w:r>
    </w:p>
    <w:tbl>
      <w:tblPr/>
      <w:tblGrid>
        <w:gridCol w:w="2400"/>
        <w:gridCol w:w="69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Type</w:t>
            </w:r>
          </w:p>
        </w:tc>
        <w:tc>
          <w:tcPr>
            <w:tcW w:w="6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Articulation avec les situations précédentes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Formative</w:t>
            </w:r>
          </w:p>
        </w:tc>
        <w:tc>
          <w:tcPr>
            <w:tcW w:w="6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Exercice noté reprenant le même contexte (algorithme avec bloc répété) que la situation d'exploration de la séance A.2, mais avec un bloc différent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permettant de vérifier le transfert sans effet de mémorisation</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d'illustration : « L'algorithme suivant calcule, pour 3 élèves différents, la moyenne de 2 notes puis affiche une appréciation. Réécrivez-le en utilisant une fonction pour le calcul de moyenne et d'appréciation. »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Cet item reprend la structure travaillée en A.3, mais applique la fonction à un contexte (moyennes et appréciations) différent du contexte initial (calculs répétés génériques), afin d'évaluer la capacité de transfert et non la simple reproduction.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Critères de réussite pour les productions du stagiaire</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fiche de séance explicite, pour chaque situation, son type (exploration, didactique, travaux pratiques, etc.) conformément à la typologie du syllabus.</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transitions entre situations sont formulées explicitement et destinées à être verbalisées auprès des élèves (et non laissées implicites).</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méthode pédagogique associée à chaque situation est cohérente avec sa nature (méthode démonstrative pour la situation didactique, méthode active pour l'exploration et les travaux pratiques).</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outil TIC est mobilisé de manière fonctionnelle pour soutenir au moins une transition entre situations (et non comme simple gadget).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Soutien et remédiation : activités différenciées pour le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rencontrant des difficultés à articuler plusieurs situations au sein d'une même séance (tendance à les traiter comme des blocs indépendants), le dispositif de remédiation repose sur :</w:t>
      </w:r>
    </w:p>
    <w:p>
      <w:pPr>
        <w:numPr>
          <w:ilvl w:val="0"/>
          <w:numId w:val="1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l'analyse, à l'aide de la grille B.1, de séances filmées d'enseignants expérimentés, en identifiant spécifiquement les phrases de transition utilisées ;</w:t>
      </w:r>
    </w:p>
    <w:p>
      <w:pPr>
        <w:numPr>
          <w:ilvl w:val="0"/>
          <w:numId w:val="1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exercice de "recomposition" : à partir de trois situations isolées fournies par le formateur, le stagiaire doit rédiger les phrases de transition manquantes ;</w:t>
      </w:r>
    </w:p>
    <w:p>
      <w:pPr>
        <w:numPr>
          <w:ilvl w:val="0"/>
          <w:numId w:val="1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reprise du jeu de rôle / micro-enseignement en se concentrant exclusivement sur les transitions, sans dérouler l'intégralité de chaque situation ;</w:t>
      </w:r>
    </w:p>
    <w:p>
      <w:pPr>
        <w:numPr>
          <w:ilvl w:val="0"/>
          <w:numId w:val="1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travail en binôme où chaque stagiaire observe l'autre lors d'un micro-enseignement et complète la grille B.1 en temps réel, avant un débriefing croisé.</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A.2. L'événement marquant concerne la transition entre la situation d'exploration et la situation didactique (étapes 2-3) : lors de la mise en commun des observations, un élève a formulé une remarque inattendue, axée non sur la répétition du bloc mais sur le fait que « les trois blocs utilisent des noms de variables différents » (alors qu'ils étaient en réalité identiques, l'élève ayant mal lu l'algorithme projeté).</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la remarque erronée de l'élève a été suivie d'un silence de la classe (5 secondes), avant que le stagiaire ne reprenne la main en reformulant directement vers la remarque attendue (répétition du bloc), sans traiter explicitement la remarque erronée.</w:t>
      </w:r>
    </w:p>
    <w:p>
      <w:pPr>
        <w:numPr>
          <w:ilvl w:val="0"/>
          <w:numId w:val="1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gérer, lors d'une situation d'exploration ouverte, une observation d'élève erronée mais potentiellement riche (ici, une question implicite sur la portée des variables), sans casser la dynamique de transition prévue vers la situation didactique ?</w:t>
      </w:r>
    </w:p>
    <w:p>
      <w:pPr>
        <w:numPr>
          <w:ilvl w:val="0"/>
          <w:numId w:val="1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la phrase de transition prévue (cf. A.2, ligne « Lien explicité aux élèves ») reposait sur l'hypothèse que les observations des élèves porteraient sur la répétition. La remarque erronée, bien que non exploitée, touchait en réalité à une notion proche (la portée des variables dans une fonction), qui sera abordée implicitement en situation 2 sans lien explicite établi avec la remarque de l'élève.</w:t>
      </w:r>
    </w:p>
    <w:p>
      <w:pPr>
        <w:numPr>
          <w:ilvl w:val="0"/>
          <w:numId w:val="14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lors de la mise en commun, accueillir explicitement toute remarque même erronée (« intéressant, on y reviendra »), et, lors de la situation didactique, relier explicitement la notion de portée des variables (abordée naturellement lors de la définition de la fonction) à la remarque initiale de l'élève, transformant ainsi une remarque erronée en point d'ancrage pour une notion à venir.</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(séance suivante, autre groupe-classe) a consisté à systématiser, lors de la phase de mise en commun, une formule d'accueil de toute remarque (« notons cette idée, nous y reviendrons »), associée à une note rapide au tableau dans un coin réservé (« questions en attente »). Lors de la situation didactique suivante, le stagiaire a explicitement relié la définition de la fonction à l'une des remarques notées, qu'elle ait été initialement correcte ou non.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deux remarques ont été notées dans le coin « questions en attente » ; l'une (correcte, sur la répétition) a directement amorcé la situation didactique comme prévu ; l'autre (sur la possibilité de « fonctions qui se rappellent elles-mêmes ») a été explicitement reportée à une séance ultérieure (« excellente question, nous la creuserons quand nous parlerons de récursivité »), évitant ainsi tout sentiment, pour l'élève concerné, que sa remarque avait été ignorée.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Gestion des transitions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Transitions prévues fonctionnent bien lorsque les remarques des élèves correspondent à l'attendu</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Prévoir une formule d'accueil générique pour les remarques imprévues, comme le "coin questions en attente"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Articulation des situations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Lien explicite entre les 3 situations globalement perçu par les élèves (bilan final positif)</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Étendre la pratique de la phrase de transition à toutes les séances, y compris celles à 2 situations seulement</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Exploitation des imprévus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Remarque erronée d'élève non exploitée lors de la séance initiale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Considérer systématiquement les remarques d'élèves comme des points d'ancrage potentiels pour la situation suivante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prendre conscience qu'une séance ne se réduit pas à une succession d'activités juxtaposées, mais constitue un parcours dont la cohérence doit être perceptible par les élèves eux-mêmes. La distinction entre les différents types de situations (exploration, didactique, travaux pratiques, évaluation, situation complexe) fournit un vocabulaire précis pour analyser et concevoir cette cohérence, et la notion de « transition explicite » s'est révélée être un levier simple mais déterminant pour la perception, par les élèves, de la logique d'une séance.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mise en relation entre méthodes pédagogiques et situations (B.2), en particulier l'importance accordée à la méthode démonstrative pour la situation didactique en informatique, a permis de mieux comprendre pourquoi certaines séances, bien que riches en contenu, peuvent être perçues comme décousues par les élèves : ce n'est pas tant le contenu de chaque situation qui pose problème, mais l'absence de fil conducteur explicite entre elles.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Tendance initiale à préparer chaque situation "en silo", sans anticiper explicitement les phrases de transition entre elles.</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à exploiter en temps réel les remarques imprévues des élèves (correctes ou erronées) comme points d'ancrage pour la situation suivante (cf. partie D).</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de situations complexes (B.4) nécessitant un découpage en sous-situations plus fin que pour une situation simple, ce qui allonge significativement le temps de préparation.</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Mobilisation de l'outil TIC (B.3) parfois perçue par le stagiaire comme une contrainte technique supplémentaire plutôt que comme un soutien naturel à la transition.</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Intégrer systématiquement, dans toute fiche de séance future, une colonne ou section "phrase de transition" entre chaque situation, en s'inspirant du modèle de la fiche A.2.</w:t>
      </w:r>
    </w:p>
    <w:p>
      <w:pPr>
        <w:numPr>
          <w:ilvl w:val="0"/>
          <w:numId w:val="1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Mettre en place le dispositif "coin questions en attente" testé en partie D.2 comme pratique régulière, afin de transformer les remarques imprévues en ressources pour les situations suivantes plutôt qu'en aléas à gérer.</w:t>
      </w:r>
    </w:p>
    <w:p>
      <w:pPr>
        <w:numPr>
          <w:ilvl w:val="0"/>
          <w:numId w:val="1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situations complexes, élaborer systématiquement un schéma de décomposition en sous-situations avant la rédaction de la fiche de séance, en s'appuyant sur l'expérience du cas pratique B.4.</w:t>
      </w:r>
    </w:p>
    <w:p>
      <w:pPr>
        <w:numPr>
          <w:ilvl w:val="0"/>
          <w:numId w:val="1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Choisir les outils TIC mobilisés en fonction de leur capacité à soutenir une transition spécifique (cf. B.3), plutôt que de manière isolée, afin d'en faire un levier d'articulation et non une simple ressource supplémentaire.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Modèle vierge de grille d'analyse de l'articulation des situations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4 colonnes : Type de situation / Présente ? / Durée / Modalité de transition vers la situation suivante, à compléter pour toute séance comportant plusieurs situations, sur le modèle de la grille B.1.)</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Banque de phrases de transition (modèle)</w:t>
      </w:r>
    </w:p>
    <w:p>
      <w:pPr>
        <w:numPr>
          <w:ilvl w:val="0"/>
          <w:numId w:val="1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Didactique : « Vous avez remarqué [observation des élèves] ; voyons maintenant comment [notion] permet de répondre à cela. »</w:t>
      </w:r>
    </w:p>
    <w:p>
      <w:pPr>
        <w:numPr>
          <w:ilvl w:val="0"/>
          <w:numId w:val="1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Didactique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Travaux pratiques : « Nous venons de voir [notion] ; à vous maintenant de l'appliquer sur [contexte de l'activité]. »</w:t>
      </w:r>
    </w:p>
    <w:p>
      <w:pPr>
        <w:numPr>
          <w:ilvl w:val="0"/>
          <w:numId w:val="1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Travaux pratiques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Évaluation : « Vous avez appliqué [notion] sur [contexte 1] ; voyons si vous pouvez faire de même sur [contexte 2, légèrement différent]. »</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w:t>
      </w:r>
      <w:r>
        <w:rPr>
          <w:rFonts w:ascii="Calibri" w:hAnsi="Calibri" w:cs="Calibri" w:eastAsia="Calibri"/>
          <w:b/>
          <w:color w:val="2E75B6"/>
          <w:spacing w:val="0"/>
          <w:position w:val="0"/>
          <w:sz w:val="26"/>
          <w:shd w:fill="auto" w:val="clear"/>
        </w:rPr>
        <w:t xml:space="preserve">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de l'écran annoté en direct (outil B.3), montrant l'algorithme de la situation d'exploration avec le bloc répété encadré en rouge, et l'en-tête de la fonction correspondante ajoutée en annotation par-dessus, matérialisant visuellement la transition entre situation 1 et situation 2.</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w:t>
      </w:r>
      <w:r>
        <w:rPr>
          <w:rFonts w:ascii="Calibri" w:hAnsi="Calibri" w:cs="Calibri" w:eastAsia="Calibri"/>
          <w:b/>
          <w:color w:val="2E75B6"/>
          <w:spacing w:val="0"/>
          <w:position w:val="0"/>
          <w:sz w:val="26"/>
          <w:shd w:fill="auto" w:val="clear"/>
        </w:rPr>
        <w:t xml:space="preserve">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binôme à l'activité A.3, montrant une fonction correctement définie et appelée 3 fois, avec un commentaire ajouté spontanément par les élèves en marge (« comme dans l'exemple du tableau ! »), illustrant la perception par les élèves du lien entre la situation didactique et la situation de travaux pratiques.</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7">
    <w:lvl w:ilvl="0">
      <w:start w:val="1"/>
      <w:numFmt w:val="decimal"/>
      <w:lvlText w:val="%1."/>
    </w:lvl>
  </w:abstractNum>
  <w:abstractNum w:abstractNumId="12">
    <w:lvl w:ilvl="0">
      <w:start w:val="1"/>
      <w:numFmt w:val="bullet"/>
      <w:lvlText w:val="•"/>
    </w:lvl>
  </w:abstractNum>
  <w:abstractNum w:abstractNumId="13">
    <w:lvl w:ilvl="0">
      <w:start w:val="1"/>
      <w:numFmt w:val="decimal"/>
      <w:lvlText w:val="%1."/>
    </w:lvl>
  </w:abstractNum>
  <w:abstractNum w:abstractNumId="18">
    <w:lvl w:ilvl="0">
      <w:start w:val="1"/>
      <w:numFmt w:val="bullet"/>
      <w:lvlText w:val="•"/>
    </w:lvl>
  </w:abstractNum>
  <w:num w:numId="51">
    <w:abstractNumId w:val="13"/>
  </w:num>
  <w:num w:numId="140">
    <w:abstractNumId w:val="18"/>
  </w:num>
  <w:num w:numId="143">
    <w:abstractNumId w:val="12"/>
  </w:num>
  <w:num w:numId="148">
    <w:abstractNumId w:val="7"/>
  </w:num>
  <w:num w:numId="167">
    <w:abstractNumId w:val="6"/>
  </w:num>
  <w:num w:numId="169">
    <w:abstractNumId w:val="1"/>
  </w:num>
  <w:num w:numId="1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