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bidi w:val="true"/>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4"/>
          <w:shd w:fill="auto" w:val="clear"/>
        </w:rPr>
        <w:t xml:space="preserve">المملكة المغربية</w:t>
      </w:r>
    </w:p>
    <w:p>
      <w:pPr>
        <w:bidi w:val="true"/>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وزارة التربية الوطنية والتعليم الأولي والرياضة</w:t>
      </w:r>
    </w:p>
    <w:p>
      <w:pPr>
        <w:bidi w:val="true"/>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المركز الجهوي لمهن التربية والتكوين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مراكش</w:t>
      </w:r>
    </w:p>
    <w:p>
      <w:pPr>
        <w:bidi w:val="true"/>
        <w:spacing w:before="100" w:after="200" w:line="240"/>
        <w:ind w:right="0" w:left="0" w:firstLine="0"/>
        <w:jc w:val="left"/>
        <w:rPr>
          <w:rFonts w:ascii="Arial" w:hAnsi="Arial" w:cs="Arial" w:eastAsia="Arial"/>
          <w:color w:val="auto"/>
          <w:spacing w:val="0"/>
          <w:position w:val="0"/>
          <w:sz w:val="22"/>
          <w:shd w:fill="auto" w:val="clear"/>
        </w:rPr>
      </w:pPr>
    </w:p>
    <w:p>
      <w:pPr>
        <w:bidi w:val="true"/>
        <w:spacing w:before="400" w:after="2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F4E79"/>
          <w:spacing w:val="0"/>
          <w:position w:val="0"/>
          <w:sz w:val="40"/>
          <w:shd w:fill="auto" w:val="clear"/>
        </w:rPr>
        <w:t xml:space="preserve">تقرير الوحدة التكوينية</w:t>
      </w:r>
    </w:p>
    <w:p>
      <w:pPr>
        <w:bidi w:val="true"/>
        <w:spacing w:before="0" w:after="4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2E75B6"/>
          <w:spacing w:val="0"/>
          <w:position w:val="0"/>
          <w:sz w:val="32"/>
          <w:shd w:fill="auto" w:val="clear"/>
        </w:rPr>
        <w:t xml:space="preserve">الوحدة</w:t>
      </w:r>
      <w:r>
        <w:rPr>
          <w:rFonts w:ascii="Arial" w:hAnsi="Arial" w:cs="Arial" w:eastAsia="Arial"/>
          <w:b/>
          <w:color w:val="2E75B6"/>
          <w:spacing w:val="0"/>
          <w:position w:val="0"/>
          <w:sz w:val="32"/>
          <w:shd w:fill="auto" w:val="clear"/>
        </w:rPr>
        <w:t xml:space="preserve">: </w:t>
      </w:r>
      <w:r>
        <w:rPr>
          <w:rFonts w:ascii="Arial" w:hAnsi="Arial" w:cs="Arial" w:eastAsia="Arial"/>
          <w:b/>
          <w:color w:val="2E75B6"/>
          <w:spacing w:val="0"/>
          <w:position w:val="0"/>
          <w:sz w:val="32"/>
          <w:shd w:fill="auto" w:val="clear"/>
        </w:rPr>
        <w:t xml:space="preserve">أخلاقيات المهنة</w:t>
      </w:r>
    </w:p>
    <w:p>
      <w:pPr>
        <w:bidi w:val="true"/>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المسلك</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تأهيل أطر التدريس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تخصص</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المعلوميات</w:t>
      </w:r>
    </w:p>
    <w:p>
      <w:pPr>
        <w:bidi w:val="true"/>
        <w:spacing w:before="0" w:after="4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الفوج</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2025-2026</w:t>
      </w:r>
    </w:p>
    <w:p>
      <w:pPr>
        <w:bidi w:val="true"/>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الأستاذ المتدرب</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ياسين حافظي</w:t>
      </w:r>
    </w:p>
    <w:p>
      <w:pPr>
        <w:bidi w:val="true"/>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الأستاذة المؤطرة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السيد</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كريمي</w:t>
      </w:r>
    </w:p>
    <w:p>
      <w:pPr>
        <w:bidi w:val="true"/>
        <w:spacing w:before="0" w:after="12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السنة التكوينية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2025-2026</w:t>
      </w:r>
    </w:p>
    <w:p>
      <w:pPr>
        <w:pageBreakBefore w:val="true"/>
        <w:bidi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br/>
      </w:r>
    </w:p>
    <w:p>
      <w:pPr>
        <w:bidi w:val="true"/>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مقدمة</w:t>
      </w:r>
    </w:p>
    <w:p>
      <w:pPr>
        <w:bidi w:val="true"/>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تعتبر وحدة أخلاقيات المهنة من الوحدات الأساسية المشتركة بين جميع التخصصات في مسار تأهيل أطر التدريس، إذ تهدف إلى تمكين الطالب الأستاذ من الانتقال من المعرفة النظرية بالقوانين والتشريعات إلى بناء وعي مهني متكامل يجمع بين الالتزام الأخلاقي والامتثال القانوني</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تتجلى الكفاية المستهدفة من هذه الوحدة في جعل الطالب قادرا، في نهاية الوحدة، على التمييز بين الواجبات والالتزامات المهنية لمهنة التدريس من أجل معالجة وضعيات مرتبطة بمهامه، في إطار التلازم بين الواجبات والحقوق بما ينسجم والتطبيق السليم والمسؤول للسلوك والقيم الأخلاقية المهنية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وتشمل أهداف الوحدة التعرف على مفهوم أخلاقيات مهنة التدريس والمفاهيم المرتبطة بها، والتعرف على مرجعيات ومبادئ أخلاقيات هذه المهنة، والتعرف على مفهوم التشريع التربوي وأهم النصوص التشريعية المؤطرة للواجبات والحقوق، وكذا التمكن من ربط الحق بالواجب، وتعزيز قيم الانتماء لمهنة التدريس والحفاظ على سمعتها</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وترتبط هذه الوحدة بشكل وثيق بمهنة التدريس، حيث تشكل الأساس الذي يبني عليه الأستاذ علاقاته مع المتعلمين، والزملاء، والإدارة التربوية، وأولياء أمور المتعلمين، وذلك في إطار قانوني وأخلاقي واضح يحفظ كرامة المهنة ويضمن جودة الممارسة التربوية</w:t>
      </w:r>
      <w:r>
        <w:rPr>
          <w:rFonts w:ascii="Arial" w:hAnsi="Arial" w:cs="Arial" w:eastAsia="Arial"/>
          <w:color w:val="auto"/>
          <w:spacing w:val="0"/>
          <w:position w:val="0"/>
          <w:sz w:val="22"/>
          <w:shd w:fill="auto" w:val="clear"/>
        </w:rPr>
        <w:t xml:space="preserve">.</w:t>
      </w:r>
    </w:p>
    <w:p>
      <w:pPr>
        <w:bidi w:val="true"/>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المحاور الأساسية للوحدة</w:t>
      </w:r>
    </w:p>
    <w:p>
      <w:pPr>
        <w:bidi w:val="true"/>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أولا</w:t>
      </w:r>
      <w:r>
        <w:rPr>
          <w:rFonts w:ascii="Arial" w:hAnsi="Arial" w:cs="Arial" w:eastAsia="Arial"/>
          <w:b/>
          <w:color w:val="2E75B6"/>
          <w:spacing w:val="0"/>
          <w:position w:val="0"/>
          <w:sz w:val="27"/>
          <w:shd w:fill="auto" w:val="clear"/>
        </w:rPr>
        <w:t xml:space="preserve">: </w:t>
      </w:r>
      <w:r>
        <w:rPr>
          <w:rFonts w:ascii="Arial" w:hAnsi="Arial" w:cs="Arial" w:eastAsia="Arial"/>
          <w:b/>
          <w:color w:val="2E75B6"/>
          <w:spacing w:val="0"/>
          <w:position w:val="0"/>
          <w:sz w:val="27"/>
          <w:shd w:fill="auto" w:val="clear"/>
        </w:rPr>
        <w:t xml:space="preserve">الإطار المفهومي والتاريخي لأخلاقيات المهنة</w:t>
      </w:r>
    </w:p>
    <w:p>
      <w:pPr>
        <w:bidi w:val="true"/>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يتناول هذا المحور المفاهيم الأساسية لأخلاقيات المهنة، وهي الأخلاق والقيم والتربية الخلقية، إضافة إلى نشأة مبحث الأخلاق وتطوره في السياق الفلسفي والسوسيولوجي</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كما يتطرق إلى المفاهيم الأساسية للتشريع التربوي، ومبادئ أخلاقيات المهنة المتمثلة في العدالة والاحترام والتقدير والتفرغ للوظيفة واستخدام شبكات التواصل الاجتماعي بشكل فعال ومسؤول</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ويختم هذا المحور بأهمية تدريس أخلاقيات المهنة في علاقتها بالقانون والتشريع التربوي</w:t>
      </w:r>
      <w:r>
        <w:rPr>
          <w:rFonts w:ascii="Arial" w:hAnsi="Arial" w:cs="Arial" w:eastAsia="Arial"/>
          <w:color w:val="auto"/>
          <w:spacing w:val="0"/>
          <w:position w:val="0"/>
          <w:sz w:val="22"/>
          <w:shd w:fill="auto" w:val="clear"/>
        </w:rPr>
        <w:t xml:space="preserve">.</w:t>
      </w:r>
    </w:p>
    <w:p>
      <w:pPr>
        <w:numPr>
          <w:ilvl w:val="0"/>
          <w:numId w:val="15"/>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المفاهيم الأساسية لأخلاقيات المهنة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الأخلاق، القيم، التربية الخلقية</w:t>
      </w:r>
      <w:r>
        <w:rPr>
          <w:rFonts w:ascii="Arial" w:hAnsi="Arial" w:cs="Arial" w:eastAsia="Arial"/>
          <w:color w:val="auto"/>
          <w:spacing w:val="0"/>
          <w:position w:val="0"/>
          <w:sz w:val="22"/>
          <w:shd w:fill="auto" w:val="clear"/>
        </w:rPr>
        <w:t xml:space="preserve">.</w:t>
      </w:r>
    </w:p>
    <w:p>
      <w:pPr>
        <w:numPr>
          <w:ilvl w:val="0"/>
          <w:numId w:val="15"/>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نشأة مبحث الأخلاق وتطوره في السياق الفلسفي والسوسيولوجي</w:t>
      </w:r>
      <w:r>
        <w:rPr>
          <w:rFonts w:ascii="Arial" w:hAnsi="Arial" w:cs="Arial" w:eastAsia="Arial"/>
          <w:color w:val="auto"/>
          <w:spacing w:val="0"/>
          <w:position w:val="0"/>
          <w:sz w:val="22"/>
          <w:shd w:fill="auto" w:val="clear"/>
        </w:rPr>
        <w:t xml:space="preserve">.</w:t>
      </w:r>
    </w:p>
    <w:p>
      <w:pPr>
        <w:numPr>
          <w:ilvl w:val="0"/>
          <w:numId w:val="15"/>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المفاهيم الأساسية للقانون والتشريع التربوي</w:t>
      </w:r>
      <w:r>
        <w:rPr>
          <w:rFonts w:ascii="Arial" w:hAnsi="Arial" w:cs="Arial" w:eastAsia="Arial"/>
          <w:color w:val="auto"/>
          <w:spacing w:val="0"/>
          <w:position w:val="0"/>
          <w:sz w:val="22"/>
          <w:shd w:fill="auto" w:val="clear"/>
        </w:rPr>
        <w:t xml:space="preserve">.</w:t>
      </w:r>
    </w:p>
    <w:p>
      <w:pPr>
        <w:numPr>
          <w:ilvl w:val="0"/>
          <w:numId w:val="15"/>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مبادئ أخلاقيات المهنة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العدالة، الاحترام، التقدير، التفرغ للوظيفة، استخدام شبكات التواصل الفعال</w:t>
      </w:r>
      <w:r>
        <w:rPr>
          <w:rFonts w:ascii="Arial" w:hAnsi="Arial" w:cs="Arial" w:eastAsia="Arial"/>
          <w:color w:val="auto"/>
          <w:spacing w:val="0"/>
          <w:position w:val="0"/>
          <w:sz w:val="22"/>
          <w:shd w:fill="auto" w:val="clear"/>
        </w:rPr>
        <w:t xml:space="preserve">.</w:t>
      </w:r>
    </w:p>
    <w:p>
      <w:pPr>
        <w:numPr>
          <w:ilvl w:val="0"/>
          <w:numId w:val="15"/>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أهمية تدريس أخلاقيات المهنة في علاقتها بالقانون</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التشريع التربوي</w:t>
      </w:r>
      <w:r>
        <w:rPr>
          <w:rFonts w:ascii="Arial" w:hAnsi="Arial" w:cs="Arial" w:eastAsia="Arial"/>
          <w:color w:val="auto"/>
          <w:spacing w:val="0"/>
          <w:position w:val="0"/>
          <w:sz w:val="22"/>
          <w:shd w:fill="auto" w:val="clear"/>
        </w:rPr>
        <w:t xml:space="preserve">.</w:t>
      </w:r>
    </w:p>
    <w:p>
      <w:pPr>
        <w:bidi w:val="true"/>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ثانيا</w:t>
      </w:r>
      <w:r>
        <w:rPr>
          <w:rFonts w:ascii="Arial" w:hAnsi="Arial" w:cs="Arial" w:eastAsia="Arial"/>
          <w:b/>
          <w:color w:val="2E75B6"/>
          <w:spacing w:val="0"/>
          <w:position w:val="0"/>
          <w:sz w:val="27"/>
          <w:shd w:fill="auto" w:val="clear"/>
        </w:rPr>
        <w:t xml:space="preserve">: </w:t>
      </w:r>
      <w:r>
        <w:rPr>
          <w:rFonts w:ascii="Arial" w:hAnsi="Arial" w:cs="Arial" w:eastAsia="Arial"/>
          <w:b/>
          <w:color w:val="2E75B6"/>
          <w:spacing w:val="0"/>
          <w:position w:val="0"/>
          <w:sz w:val="27"/>
          <w:shd w:fill="auto" w:val="clear"/>
        </w:rPr>
        <w:t xml:space="preserve">المصادر والمرجعيات</w:t>
      </w:r>
    </w:p>
    <w:p>
      <w:pPr>
        <w:bidi w:val="true"/>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يستعرض هذا المحور مصادر أخلاقيات مهنة التدريس والمبادئ الموجهة لها، وهي المصدر العقائدي أو الديني، والمصدر الاجتماعي، والمصدر القانوني، والمصدر الإداري، والمصدر التاريخي، إضافة إلى المواثيق الدولية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كما يتناول مصادر التشريع التربوي والمبادئ الموجهة له وفق نفس التصنيف</w:t>
      </w:r>
      <w:r>
        <w:rPr>
          <w:rFonts w:ascii="Arial" w:hAnsi="Arial" w:cs="Arial" w:eastAsia="Arial"/>
          <w:color w:val="auto"/>
          <w:spacing w:val="0"/>
          <w:position w:val="0"/>
          <w:sz w:val="22"/>
          <w:shd w:fill="auto" w:val="clear"/>
        </w:rPr>
        <w:t xml:space="preserve">.</w:t>
      </w:r>
    </w:p>
    <w:p>
      <w:pPr>
        <w:numPr>
          <w:ilvl w:val="0"/>
          <w:numId w:val="18"/>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مصادر أخلاقيات مهنة التدريس</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المصدر العقائدي</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الديني، الاجتماعي، القانوني، الإداري، التاريخي، المواثيق الدولية</w:t>
      </w:r>
      <w:r>
        <w:rPr>
          <w:rFonts w:ascii="Arial" w:hAnsi="Arial" w:cs="Arial" w:eastAsia="Arial"/>
          <w:color w:val="auto"/>
          <w:spacing w:val="0"/>
          <w:position w:val="0"/>
          <w:sz w:val="22"/>
          <w:shd w:fill="auto" w:val="clear"/>
        </w:rPr>
        <w:t xml:space="preserve">.</w:t>
      </w:r>
    </w:p>
    <w:p>
      <w:pPr>
        <w:numPr>
          <w:ilvl w:val="0"/>
          <w:numId w:val="18"/>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مصادر التشريع التربوي والمبادئ الموجهة له</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المصدر الديني، الاجتماعي، القانوني، الإداري</w:t>
      </w:r>
      <w:r>
        <w:rPr>
          <w:rFonts w:ascii="Arial" w:hAnsi="Arial" w:cs="Arial" w:eastAsia="Arial"/>
          <w:color w:val="auto"/>
          <w:spacing w:val="0"/>
          <w:position w:val="0"/>
          <w:sz w:val="22"/>
          <w:shd w:fill="auto" w:val="clear"/>
        </w:rPr>
        <w:t xml:space="preserve">.</w:t>
      </w:r>
    </w:p>
    <w:p>
      <w:pPr>
        <w:bidi w:val="true"/>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ثالثا</w:t>
      </w:r>
      <w:r>
        <w:rPr>
          <w:rFonts w:ascii="Arial" w:hAnsi="Arial" w:cs="Arial" w:eastAsia="Arial"/>
          <w:b/>
          <w:color w:val="2E75B6"/>
          <w:spacing w:val="0"/>
          <w:position w:val="0"/>
          <w:sz w:val="27"/>
          <w:shd w:fill="auto" w:val="clear"/>
        </w:rPr>
        <w:t xml:space="preserve">: </w:t>
      </w:r>
      <w:r>
        <w:rPr>
          <w:rFonts w:ascii="Arial" w:hAnsi="Arial" w:cs="Arial" w:eastAsia="Arial"/>
          <w:b/>
          <w:color w:val="2E75B6"/>
          <w:spacing w:val="0"/>
          <w:position w:val="0"/>
          <w:sz w:val="27"/>
          <w:shd w:fill="auto" w:val="clear"/>
        </w:rPr>
        <w:t xml:space="preserve">التشريع التربوي</w:t>
      </w:r>
    </w:p>
    <w:p>
      <w:pPr>
        <w:bidi w:val="true"/>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يتناول هذا المحور الأنظمة القانونية والتشريعية في مجال التربية والتكوين، والإطار القانوني للمسار المهني للمدرس وواجباته، والإطار القانوني لمسار المتعلم الدراسي، ومسؤوليات المدرس، والإطار القانوني للجمعيات التربوية والتدبير التربوي العلائقي</w:t>
      </w:r>
      <w:r>
        <w:rPr>
          <w:rFonts w:ascii="Arial" w:hAnsi="Arial" w:cs="Arial" w:eastAsia="Arial"/>
          <w:color w:val="auto"/>
          <w:spacing w:val="0"/>
          <w:position w:val="0"/>
          <w:sz w:val="22"/>
          <w:shd w:fill="auto" w:val="clear"/>
        </w:rPr>
        <w:t xml:space="preserve">.</w:t>
      </w:r>
    </w:p>
    <w:p>
      <w:pPr>
        <w:numPr>
          <w:ilvl w:val="0"/>
          <w:numId w:val="21"/>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الأنظمة القانونية والتشريعية في مجال التربية والتكوين</w:t>
      </w:r>
      <w:r>
        <w:rPr>
          <w:rFonts w:ascii="Arial" w:hAnsi="Arial" w:cs="Arial" w:eastAsia="Arial"/>
          <w:color w:val="auto"/>
          <w:spacing w:val="0"/>
          <w:position w:val="0"/>
          <w:sz w:val="22"/>
          <w:shd w:fill="auto" w:val="clear"/>
        </w:rPr>
        <w:t xml:space="preserve">.</w:t>
      </w:r>
    </w:p>
    <w:p>
      <w:pPr>
        <w:numPr>
          <w:ilvl w:val="0"/>
          <w:numId w:val="21"/>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الإطار القانوني للمسار المهني للمدرس وواجباته</w:t>
      </w:r>
      <w:r>
        <w:rPr>
          <w:rFonts w:ascii="Arial" w:hAnsi="Arial" w:cs="Arial" w:eastAsia="Arial"/>
          <w:color w:val="auto"/>
          <w:spacing w:val="0"/>
          <w:position w:val="0"/>
          <w:sz w:val="22"/>
          <w:shd w:fill="auto" w:val="clear"/>
        </w:rPr>
        <w:t xml:space="preserve">.</w:t>
      </w:r>
    </w:p>
    <w:p>
      <w:pPr>
        <w:numPr>
          <w:ilvl w:val="0"/>
          <w:numId w:val="21"/>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الإطار القانوني لمسار المتعلم الدراسي</w:t>
      </w:r>
      <w:r>
        <w:rPr>
          <w:rFonts w:ascii="Arial" w:hAnsi="Arial" w:cs="Arial" w:eastAsia="Arial"/>
          <w:color w:val="auto"/>
          <w:spacing w:val="0"/>
          <w:position w:val="0"/>
          <w:sz w:val="22"/>
          <w:shd w:fill="auto" w:val="clear"/>
        </w:rPr>
        <w:t xml:space="preserve">.</w:t>
      </w:r>
    </w:p>
    <w:p>
      <w:pPr>
        <w:numPr>
          <w:ilvl w:val="0"/>
          <w:numId w:val="21"/>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مسؤوليات المدرس</w:t>
      </w:r>
      <w:r>
        <w:rPr>
          <w:rFonts w:ascii="Arial" w:hAnsi="Arial" w:cs="Arial" w:eastAsia="Arial"/>
          <w:color w:val="auto"/>
          <w:spacing w:val="0"/>
          <w:position w:val="0"/>
          <w:sz w:val="22"/>
          <w:shd w:fill="auto" w:val="clear"/>
        </w:rPr>
        <w:t xml:space="preserve">.</w:t>
      </w:r>
    </w:p>
    <w:p>
      <w:pPr>
        <w:numPr>
          <w:ilvl w:val="0"/>
          <w:numId w:val="21"/>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الإطار القانوني للجمعيات التربوية والتدبير التربوي العلائقي</w:t>
      </w:r>
      <w:r>
        <w:rPr>
          <w:rFonts w:ascii="Arial" w:hAnsi="Arial" w:cs="Arial" w:eastAsia="Arial"/>
          <w:color w:val="auto"/>
          <w:spacing w:val="0"/>
          <w:position w:val="0"/>
          <w:sz w:val="22"/>
          <w:shd w:fill="auto" w:val="clear"/>
        </w:rPr>
        <w:t xml:space="preserve">.</w:t>
      </w:r>
    </w:p>
    <w:p>
      <w:pPr>
        <w:bidi w:val="true"/>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رابعا</w:t>
      </w:r>
      <w:r>
        <w:rPr>
          <w:rFonts w:ascii="Arial" w:hAnsi="Arial" w:cs="Arial" w:eastAsia="Arial"/>
          <w:b/>
          <w:color w:val="2E75B6"/>
          <w:spacing w:val="0"/>
          <w:position w:val="0"/>
          <w:sz w:val="27"/>
          <w:shd w:fill="auto" w:val="clear"/>
        </w:rPr>
        <w:t xml:space="preserve">: </w:t>
      </w:r>
      <w:r>
        <w:rPr>
          <w:rFonts w:ascii="Arial" w:hAnsi="Arial" w:cs="Arial" w:eastAsia="Arial"/>
          <w:b/>
          <w:color w:val="2E75B6"/>
          <w:spacing w:val="0"/>
          <w:position w:val="0"/>
          <w:sz w:val="27"/>
          <w:shd w:fill="auto" w:val="clear"/>
        </w:rPr>
        <w:t xml:space="preserve">التزامات المدرس وعلاقته بأخلاقيات المهنة وآليات تفعيلها</w:t>
      </w:r>
    </w:p>
    <w:p>
      <w:pPr>
        <w:bidi w:val="true"/>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يعد هذا المحور الأكثر تطبيقا في الوحدة، حيث يربط بين الالتزامات القانونية والأخلاقية للمدرس تجاه منظومة التربية والتعليم، وتجاه الإدارة التربوية، وتجاه زملائه، والتزامه المهني تجاه المتعلمين، وتجاه آباء وأمهات وأولياء المتعلمين وباقي الأغيار، وتجاه الفاعلين التربويين والشركاء</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ويستعرض كذلك آليات تفعيل أخلاقيات مهنة التدريس</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التزامات المدرس تجاه منظومة التربية والتعليم</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التزامات المدرس تجاه الإدارة التربوية</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التزامات المدرس تجاه زملائه</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الالتزام بالواجب المهني تجاه المتعلمين</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التزامات المدرس تجاه آباء وأمهات وأولياء المتعلمين وباقي الأغيار</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التزامات المدرس تجاه الفاعلين التربويين والشركاء</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آليات تفعيل أخلاقيات مهنة التدريس</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الآليات القانونية، الحقوقية، الإدارية، التربوية</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ترسيخ أخلاقيات المهنة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تنمية الرقابة الذاتية، التقييم المستمر، التسامح في بيئة العمل</w:t>
      </w:r>
      <w:r>
        <w:rPr>
          <w:rFonts w:ascii="Arial" w:hAnsi="Arial" w:cs="Arial" w:eastAsia="Arial"/>
          <w:color w:val="auto"/>
          <w:spacing w:val="0"/>
          <w:position w:val="0"/>
          <w:sz w:val="22"/>
          <w:shd w:fill="auto" w:val="clear"/>
        </w:rPr>
        <w:t xml:space="preserve">.</w:t>
      </w:r>
    </w:p>
    <w:p>
      <w:pPr>
        <w:bidi w:val="true"/>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الجزء التطبيقي</w:t>
      </w:r>
      <w:r>
        <w:rPr>
          <w:rFonts w:ascii="Arial" w:hAnsi="Arial" w:cs="Arial" w:eastAsia="Arial"/>
          <w:b/>
          <w:color w:val="1F4E79"/>
          <w:spacing w:val="0"/>
          <w:position w:val="0"/>
          <w:sz w:val="32"/>
          <w:shd w:fill="auto" w:val="clear"/>
        </w:rPr>
        <w:t xml:space="preserve">: </w:t>
      </w:r>
      <w:r>
        <w:rPr>
          <w:rFonts w:ascii="Arial" w:hAnsi="Arial" w:cs="Arial" w:eastAsia="Arial"/>
          <w:b/>
          <w:color w:val="1F4E79"/>
          <w:spacing w:val="0"/>
          <w:position w:val="0"/>
          <w:sz w:val="32"/>
          <w:shd w:fill="auto" w:val="clear"/>
        </w:rPr>
        <w:t xml:space="preserve">تحليل وضعية مهنية</w:t>
      </w:r>
    </w:p>
    <w:p>
      <w:pPr>
        <w:bidi w:val="true"/>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وضعية مهنية معروضة للتحليل</w:t>
      </w:r>
    </w:p>
    <w:p>
      <w:pPr>
        <w:bidi w:val="true"/>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في إطار التدريب الميداني بثانوية إعدادية بورج الزيتونة، تحت إشراف الأستاذ لمين جوهري، واجه الأستاذ المتدرب وضعية تتطلب التمييز بين الواجب المهني والحق الفردي</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أحد المتعلمين نشر، عبر مجموعة تواصل اجتماعي تخص الفصل، صورة لزميله مع تعليق مسيء، مما أدى إلى نزاع بين المتعلمين انعكس على جو الفصل</w:t>
      </w:r>
      <w:r>
        <w:rPr>
          <w:rFonts w:ascii="Arial" w:hAnsi="Arial" w:cs="Arial" w:eastAsia="Arial"/>
          <w:color w:val="auto"/>
          <w:spacing w:val="0"/>
          <w:position w:val="0"/>
          <w:sz w:val="22"/>
          <w:shd w:fill="auto" w:val="clear"/>
        </w:rPr>
        <w:t xml:space="preserve">.</w:t>
      </w:r>
    </w:p>
    <w:p>
      <w:pPr>
        <w:bidi w:val="true"/>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التحليل وفق مبادئ أخلاقيات المهنة</w:t>
      </w:r>
    </w:p>
    <w:tbl>
      <w:tblPr/>
      <w:tblGrid>
        <w:gridCol w:w="2400"/>
        <w:gridCol w:w="3480"/>
        <w:gridCol w:w="3480"/>
      </w:tblGrid>
      <w:tr>
        <w:trPr>
          <w:trHeight w:val="1" w:hRule="atLeast"/>
          <w:jc w:val="right"/>
        </w:trPr>
        <w:tc>
          <w:tcPr>
            <w:tcW w:w="240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b/>
                <w:color w:val="auto"/>
                <w:spacing w:val="0"/>
                <w:position w:val="0"/>
                <w:sz w:val="22"/>
                <w:shd w:fill="auto" w:val="clear"/>
              </w:rPr>
              <w:t xml:space="preserve">البعد المعني</w:t>
            </w:r>
          </w:p>
        </w:tc>
        <w:tc>
          <w:tcPr>
            <w:tcW w:w="34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b/>
                <w:color w:val="auto"/>
                <w:spacing w:val="0"/>
                <w:position w:val="0"/>
                <w:sz w:val="22"/>
                <w:shd w:fill="auto" w:val="clear"/>
              </w:rPr>
              <w:t xml:space="preserve">الواجب</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الالتزام المرتبط</w:t>
            </w:r>
          </w:p>
        </w:tc>
        <w:tc>
          <w:tcPr>
            <w:tcW w:w="34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b/>
                <w:color w:val="auto"/>
                <w:spacing w:val="0"/>
                <w:position w:val="0"/>
                <w:sz w:val="22"/>
                <w:shd w:fill="auto" w:val="clear"/>
              </w:rPr>
              <w:t xml:space="preserve">الإجراء المتخذ</w:t>
            </w:r>
          </w:p>
        </w:tc>
      </w:tr>
      <w:tr>
        <w:trPr>
          <w:trHeight w:val="1" w:hRule="atLeast"/>
          <w:jc w:val="righ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الالتزام تجاه المتعلمين</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حماية كرامة المتعلم وضمان بيئة تعليمية آمنة</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التدخل الفوري لإيقاف النزاع ومعالجته بهدوء بعيدا عن التشهير</w:t>
            </w:r>
          </w:p>
        </w:tc>
      </w:tr>
      <w:tr>
        <w:trPr>
          <w:trHeight w:val="1" w:hRule="atLeast"/>
          <w:jc w:val="righ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الالتزام تجاه أولياء المتعلمين</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إخبار الأسرتين بالواقعة دون مبالغة أو تحامل</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تنظيم لقاء مع الأسرتين بحضور الإدارة التربوية</w:t>
            </w:r>
          </w:p>
        </w:tc>
      </w:tr>
      <w:tr>
        <w:trPr>
          <w:trHeight w:val="1" w:hRule="atLeast"/>
          <w:jc w:val="righ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الالتزام تجاه الإدارة التربوية</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تبليغ الإدارة بالوضعية وفق الإطار القانوني المعمول به</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تحرير تقرير مفصل وتسليمه للإدارة التربوية</w:t>
            </w:r>
          </w:p>
        </w:tc>
      </w:tr>
      <w:tr>
        <w:trPr>
          <w:trHeight w:val="1" w:hRule="atLeast"/>
          <w:jc w:val="righ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استخدام شبكات التواصل الاجتماعي</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تعزيز الاستخدام المسؤول والفعال لهذه الشبكات</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تنظيم حصة توجيهية حول الاستخدام الأخلاقي والقانوني لشبكات التواصل</w:t>
            </w:r>
          </w:p>
        </w:tc>
      </w:tr>
    </w:tbl>
    <w:p>
      <w:pPr>
        <w:bidi w:val="true"/>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الآليات القانونية والتربوية المعتمدة</w:t>
      </w:r>
    </w:p>
    <w:p>
      <w:pPr>
        <w:numPr>
          <w:ilvl w:val="0"/>
          <w:numId w:val="42"/>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الآلية القانونية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الرجوع إلى النصوص المنظمة لحقوق المتعلم في الكرامة وعدم التشهير</w:t>
      </w:r>
      <w:r>
        <w:rPr>
          <w:rFonts w:ascii="Arial" w:hAnsi="Arial" w:cs="Arial" w:eastAsia="Arial"/>
          <w:color w:val="auto"/>
          <w:spacing w:val="0"/>
          <w:position w:val="0"/>
          <w:sz w:val="22"/>
          <w:shd w:fill="auto" w:val="clear"/>
        </w:rPr>
        <w:t xml:space="preserve">.</w:t>
      </w:r>
    </w:p>
    <w:p>
      <w:pPr>
        <w:numPr>
          <w:ilvl w:val="0"/>
          <w:numId w:val="42"/>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الآلية الإدارية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إخبار الإدارة التربوية وفق التسلسل المعمول به داخل المؤسسة</w:t>
      </w:r>
      <w:r>
        <w:rPr>
          <w:rFonts w:ascii="Arial" w:hAnsi="Arial" w:cs="Arial" w:eastAsia="Arial"/>
          <w:color w:val="auto"/>
          <w:spacing w:val="0"/>
          <w:position w:val="0"/>
          <w:sz w:val="22"/>
          <w:shd w:fill="auto" w:val="clear"/>
        </w:rPr>
        <w:t xml:space="preserve">.</w:t>
      </w:r>
    </w:p>
    <w:p>
      <w:pPr>
        <w:numPr>
          <w:ilvl w:val="0"/>
          <w:numId w:val="42"/>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الآلية التربوية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تحويل الوضعية إلى فرصة تعلم جماعي حول أخلاقيات استخدام الفضاء الرقمي</w:t>
      </w:r>
      <w:r>
        <w:rPr>
          <w:rFonts w:ascii="Arial" w:hAnsi="Arial" w:cs="Arial" w:eastAsia="Arial"/>
          <w:color w:val="auto"/>
          <w:spacing w:val="0"/>
          <w:position w:val="0"/>
          <w:sz w:val="22"/>
          <w:shd w:fill="auto" w:val="clear"/>
        </w:rPr>
        <w:t xml:space="preserve">.</w:t>
      </w:r>
    </w:p>
    <w:p>
      <w:pPr>
        <w:numPr>
          <w:ilvl w:val="0"/>
          <w:numId w:val="42"/>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الآلية الحقوقية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ضمان حق كل متعلم في الاستماع إليه وعدم إصدار حكم متسرع</w:t>
      </w:r>
      <w:r>
        <w:rPr>
          <w:rFonts w:ascii="Arial" w:hAnsi="Arial" w:cs="Arial" w:eastAsia="Arial"/>
          <w:color w:val="auto"/>
          <w:spacing w:val="0"/>
          <w:position w:val="0"/>
          <w:sz w:val="22"/>
          <w:shd w:fill="auto" w:val="clear"/>
        </w:rPr>
        <w:t xml:space="preserve">.</w:t>
      </w:r>
    </w:p>
    <w:p>
      <w:pPr>
        <w:bidi w:val="true"/>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التقييم الذاتي للأستاذ المتدرب</w:t>
      </w:r>
    </w:p>
    <w:tbl>
      <w:tblPr/>
      <w:tblGrid>
        <w:gridCol w:w="3120"/>
        <w:gridCol w:w="6240"/>
      </w:tblGrid>
      <w:tr>
        <w:trPr>
          <w:trHeight w:val="1" w:hRule="atLeast"/>
          <w:jc w:val="right"/>
        </w:trPr>
        <w:tc>
          <w:tcPr>
            <w:tcW w:w="31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b/>
                <w:color w:val="auto"/>
                <w:spacing w:val="0"/>
                <w:position w:val="0"/>
                <w:sz w:val="22"/>
                <w:shd w:fill="auto" w:val="clear"/>
              </w:rPr>
              <w:t xml:space="preserve">الكفاية</w:t>
            </w:r>
          </w:p>
        </w:tc>
        <w:tc>
          <w:tcPr>
            <w:tcW w:w="624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b/>
                <w:color w:val="auto"/>
                <w:spacing w:val="0"/>
                <w:position w:val="0"/>
                <w:sz w:val="22"/>
                <w:shd w:fill="auto" w:val="clear"/>
              </w:rPr>
              <w:t xml:space="preserve">المستوى المحقق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من </w:t>
            </w:r>
            <w:r>
              <w:rPr>
                <w:rFonts w:ascii="Arial" w:hAnsi="Arial" w:cs="Arial" w:eastAsia="Arial"/>
                <w:b/>
                <w:color w:val="auto"/>
                <w:spacing w:val="0"/>
                <w:position w:val="0"/>
                <w:sz w:val="22"/>
                <w:shd w:fill="auto" w:val="clear"/>
              </w:rPr>
              <w:t xml:space="preserve">1</w:t>
            </w:r>
            <w:r>
              <w:rPr>
                <w:rFonts w:ascii="Arial" w:hAnsi="Arial" w:cs="Arial" w:eastAsia="Arial"/>
                <w:b/>
                <w:color w:val="auto"/>
                <w:spacing w:val="0"/>
                <w:position w:val="0"/>
                <w:sz w:val="22"/>
                <w:shd w:fill="auto" w:val="clear"/>
              </w:rPr>
              <w:t xml:space="preserve"> إلى </w:t>
            </w:r>
            <w:r>
              <w:rPr>
                <w:rFonts w:ascii="Arial" w:hAnsi="Arial" w:cs="Arial" w:eastAsia="Arial"/>
                <w:b/>
                <w:color w:val="auto"/>
                <w:spacing w:val="0"/>
                <w:position w:val="0"/>
                <w:sz w:val="22"/>
                <w:shd w:fill="auto" w:val="clear"/>
              </w:rPr>
              <w:t xml:space="preserve">4</w:t>
            </w:r>
            <w:r>
              <w:rPr>
                <w:rFonts w:ascii="Arial" w:hAnsi="Arial" w:cs="Arial" w:eastAsia="Arial"/>
                <w:b/>
                <w:color w:val="auto"/>
                <w:spacing w:val="0"/>
                <w:position w:val="0"/>
                <w:sz w:val="22"/>
                <w:shd w:fill="auto" w:val="clear"/>
              </w:rPr>
              <w:t xml:space="preserve">)</w:t>
            </w:r>
          </w:p>
        </w:tc>
      </w:tr>
      <w:tr>
        <w:trPr>
          <w:trHeight w:val="1" w:hRule="atLeast"/>
          <w:jc w:val="righ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التمييز بين الواجبات والالتزامات المهنية</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4/4</w:t>
            </w:r>
          </w:p>
        </w:tc>
      </w:tr>
      <w:tr>
        <w:trPr>
          <w:trHeight w:val="1" w:hRule="atLeast"/>
          <w:jc w:val="righ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ربط الحق بالواجب في وضعية ملموسة</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r>
        <w:trPr>
          <w:trHeight w:val="1" w:hRule="atLeast"/>
          <w:jc w:val="righ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تفعيل آليات أخلاقيات المهنة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قانونية، إدارية، تربوية</w:t>
            </w:r>
            <w:r>
              <w:rPr>
                <w:rFonts w:ascii="Arial" w:hAnsi="Arial" w:cs="Arial" w:eastAsia="Arial"/>
                <w:color w:val="auto"/>
                <w:spacing w:val="0"/>
                <w:position w:val="0"/>
                <w:sz w:val="22"/>
                <w:shd w:fill="auto" w:val="clear"/>
              </w:rPr>
              <w:t xml:space="preserv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r>
        <w:trPr>
          <w:trHeight w:val="1" w:hRule="atLeast"/>
          <w:jc w:val="righ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الحفاظ على سمعة المهنة أثناء معالجة النزاع</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4/4</w:t>
            </w:r>
          </w:p>
        </w:tc>
      </w:tr>
      <w:tr>
        <w:trPr>
          <w:trHeight w:val="1" w:hRule="atLeast"/>
          <w:jc w:val="righ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استثمار الوضعية في توجيه المتعلمين نحو الاستخدام المسؤول للتكنولوجيا</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bl>
    <w:p>
      <w:pPr>
        <w:bidi w:val="true"/>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الخاتمة والآفاق</w:t>
      </w:r>
    </w:p>
    <w:p>
      <w:pPr>
        <w:bidi w:val="true"/>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التقييم الشخصي للأستاذ المتدرب</w:t>
      </w:r>
    </w:p>
    <w:p>
      <w:pPr>
        <w:bidi w:val="true"/>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مكنتني هذه الوحدة من بناء وعي متكامل بأخلاقيات مهنة التدريس، يتجاوز الإحساس الفطري بما هو صائب أو خاطئ نحو فهم مؤسس على النصوص القانونية والتشريعية المنظمة للمهنة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وقد أتاحت لي الوضعية المهنية التي عشتها خلال التدريب الميداني فرصة لتطبيق مبادئ العدالة والاحترام وحماية كرامة المتعلم في سياق حقيقي، كما أبرزت لي أهمية التعامل مع الإدارة التربوية والأسر وفق الإطار القانوني المعمول به</w:t>
      </w:r>
      <w:r>
        <w:rPr>
          <w:rFonts w:ascii="Arial" w:hAnsi="Arial" w:cs="Arial" w:eastAsia="Arial"/>
          <w:color w:val="auto"/>
          <w:spacing w:val="0"/>
          <w:position w:val="0"/>
          <w:sz w:val="22"/>
          <w:shd w:fill="auto" w:val="clear"/>
        </w:rPr>
        <w:t xml:space="preserve">.</w:t>
      </w:r>
    </w:p>
    <w:p>
      <w:pPr>
        <w:bidi w:val="true"/>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الصعوبات المواجهة</w:t>
      </w:r>
    </w:p>
    <w:p>
      <w:pPr>
        <w:numPr>
          <w:ilvl w:val="0"/>
          <w:numId w:val="62"/>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صعوبة الفصل، في لحظة الوضعية، بين رد فعل عاطفي تجاه التصرف غير المسؤول وبين معالجة مهنية هادئة ومتزنة</w:t>
      </w:r>
      <w:r>
        <w:rPr>
          <w:rFonts w:ascii="Arial" w:hAnsi="Arial" w:cs="Arial" w:eastAsia="Arial"/>
          <w:color w:val="auto"/>
          <w:spacing w:val="0"/>
          <w:position w:val="0"/>
          <w:sz w:val="22"/>
          <w:shd w:fill="auto" w:val="clear"/>
        </w:rPr>
        <w:t xml:space="preserve">.</w:t>
      </w:r>
    </w:p>
    <w:p>
      <w:pPr>
        <w:numPr>
          <w:ilvl w:val="0"/>
          <w:numId w:val="62"/>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محدودية المعرفة الأولية بالإجراءات الدقيقة المتعلقة بإخبار الإدارة التربوية في حالات مشابهة</w:t>
      </w:r>
      <w:r>
        <w:rPr>
          <w:rFonts w:ascii="Arial" w:hAnsi="Arial" w:cs="Arial" w:eastAsia="Arial"/>
          <w:color w:val="auto"/>
          <w:spacing w:val="0"/>
          <w:position w:val="0"/>
          <w:sz w:val="22"/>
          <w:shd w:fill="auto" w:val="clear"/>
        </w:rPr>
        <w:t xml:space="preserve">.</w:t>
      </w:r>
    </w:p>
    <w:p>
      <w:pPr>
        <w:numPr>
          <w:ilvl w:val="0"/>
          <w:numId w:val="62"/>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تحديد الموازنة المناسبة بين حق المتعلم المتضرر في الحماية وحق المتعلم الآخر في الاستماع إليه</w:t>
      </w:r>
      <w:r>
        <w:rPr>
          <w:rFonts w:ascii="Arial" w:hAnsi="Arial" w:cs="Arial" w:eastAsia="Arial"/>
          <w:color w:val="auto"/>
          <w:spacing w:val="0"/>
          <w:position w:val="0"/>
          <w:sz w:val="22"/>
          <w:shd w:fill="auto" w:val="clear"/>
        </w:rPr>
        <w:t xml:space="preserve">.</w:t>
      </w:r>
    </w:p>
    <w:p>
      <w:pPr>
        <w:bidi w:val="true"/>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سبل التحسين المستقبلية</w:t>
      </w:r>
    </w:p>
    <w:p>
      <w:pPr>
        <w:numPr>
          <w:ilvl w:val="0"/>
          <w:numId w:val="6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الاطلاع المسبق على النصوص التنظيمية الخاصة بالمؤسسة المتعلقة بمعالجة النزاعات بين المتعلمين</w:t>
      </w:r>
      <w:r>
        <w:rPr>
          <w:rFonts w:ascii="Arial" w:hAnsi="Arial" w:cs="Arial" w:eastAsia="Arial"/>
          <w:color w:val="auto"/>
          <w:spacing w:val="0"/>
          <w:position w:val="0"/>
          <w:sz w:val="22"/>
          <w:shd w:fill="auto" w:val="clear"/>
        </w:rPr>
        <w:t xml:space="preserve">.</w:t>
      </w:r>
    </w:p>
    <w:p>
      <w:pPr>
        <w:numPr>
          <w:ilvl w:val="0"/>
          <w:numId w:val="6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إعداد بروتوكول شخصي للتعامل مع الوضعيات المشابهة، يشمل خطوات التدخل، التبليغ، والمتابعة</w:t>
      </w:r>
      <w:r>
        <w:rPr>
          <w:rFonts w:ascii="Arial" w:hAnsi="Arial" w:cs="Arial" w:eastAsia="Arial"/>
          <w:color w:val="auto"/>
          <w:spacing w:val="0"/>
          <w:position w:val="0"/>
          <w:sz w:val="22"/>
          <w:shd w:fill="auto" w:val="clear"/>
        </w:rPr>
        <w:t xml:space="preserve">.</w:t>
      </w:r>
    </w:p>
    <w:p>
      <w:pPr>
        <w:numPr>
          <w:ilvl w:val="0"/>
          <w:numId w:val="6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تعزيز الأنشطة التوجيهية الدورية حول الاستخدام المسؤول لشبكات التواصل الاجتماعي لدى المتعلمين</w:t>
      </w:r>
      <w:r>
        <w:rPr>
          <w:rFonts w:ascii="Arial" w:hAnsi="Arial" w:cs="Arial" w:eastAsia="Arial"/>
          <w:color w:val="auto"/>
          <w:spacing w:val="0"/>
          <w:position w:val="0"/>
          <w:sz w:val="22"/>
          <w:shd w:fill="auto" w:val="clear"/>
        </w:rPr>
        <w:t xml:space="preserve">.</w:t>
      </w:r>
    </w:p>
    <w:p>
      <w:pPr>
        <w:numPr>
          <w:ilvl w:val="0"/>
          <w:numId w:val="6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الاستمرار في تنمية الرقابة الذاتية والتقييم المستمر للممارسات المهنية في علاقتها بأخلاقيات المهنة</w:t>
      </w:r>
      <w:r>
        <w:rPr>
          <w:rFonts w:ascii="Arial" w:hAnsi="Arial" w:cs="Arial" w:eastAsia="Arial"/>
          <w:color w:val="auto"/>
          <w:spacing w:val="0"/>
          <w:position w:val="0"/>
          <w:sz w:val="22"/>
          <w:shd w:fill="auto" w:val="clear"/>
        </w:rPr>
        <w:t xml:space="preserve">.</w:t>
      </w:r>
    </w:p>
    <w:p>
      <w:pPr>
        <w:bidi w:val="true"/>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الملاحق</w:t>
      </w:r>
    </w:p>
    <w:p>
      <w:pPr>
        <w:numPr>
          <w:ilvl w:val="0"/>
          <w:numId w:val="66"/>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الملحق </w:t>
      </w:r>
      <w:r>
        <w:rPr>
          <w:rFonts w:ascii="Arial" w:hAnsi="Arial" w:cs="Arial" w:eastAsia="Arial"/>
          <w:color w:val="auto"/>
          <w:spacing w:val="0"/>
          <w:position w:val="0"/>
          <w:sz w:val="22"/>
          <w:shd w:fill="auto" w:val="clear"/>
        </w:rPr>
        <w:t xml:space="preserve">1</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مقتطف من النصوص التشريعية المنظمة لحقوق وواجبات المدرس</w:t>
      </w:r>
      <w:r>
        <w:rPr>
          <w:rFonts w:ascii="Arial" w:hAnsi="Arial" w:cs="Arial" w:eastAsia="Arial"/>
          <w:color w:val="auto"/>
          <w:spacing w:val="0"/>
          <w:position w:val="0"/>
          <w:sz w:val="22"/>
          <w:shd w:fill="auto" w:val="clear"/>
        </w:rPr>
        <w:t xml:space="preserve">.</w:t>
      </w:r>
    </w:p>
    <w:p>
      <w:pPr>
        <w:numPr>
          <w:ilvl w:val="0"/>
          <w:numId w:val="66"/>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الملحق </w:t>
      </w:r>
      <w:r>
        <w:rPr>
          <w:rFonts w:ascii="Arial" w:hAnsi="Arial" w:cs="Arial" w:eastAsia="Arial"/>
          <w:color w:val="auto"/>
          <w:spacing w:val="0"/>
          <w:position w:val="0"/>
          <w:sz w:val="22"/>
          <w:shd w:fill="auto" w:val="clear"/>
        </w:rPr>
        <w:t xml:space="preserve">2</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نسخة من التقرير المحرر حول الوضعية المهنية المعروضة</w:t>
      </w:r>
      <w:r>
        <w:rPr>
          <w:rFonts w:ascii="Arial" w:hAnsi="Arial" w:cs="Arial" w:eastAsia="Arial"/>
          <w:color w:val="auto"/>
          <w:spacing w:val="0"/>
          <w:position w:val="0"/>
          <w:sz w:val="22"/>
          <w:shd w:fill="auto" w:val="clear"/>
        </w:rPr>
        <w:t xml:space="preserve">.</w:t>
      </w:r>
    </w:p>
    <w:p>
      <w:pPr>
        <w:numPr>
          <w:ilvl w:val="0"/>
          <w:numId w:val="66"/>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الملحق </w:t>
      </w:r>
      <w:r>
        <w:rPr>
          <w:rFonts w:ascii="Arial" w:hAnsi="Arial" w:cs="Arial" w:eastAsia="Arial"/>
          <w:color w:val="auto"/>
          <w:spacing w:val="0"/>
          <w:position w:val="0"/>
          <w:sz w:val="22"/>
          <w:shd w:fill="auto" w:val="clear"/>
        </w:rPr>
        <w:t xml:space="preserve">3</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نموذج بطاقة توجيهية حول الاستخدام المسؤول لشبكات التواصل الاجتماعي</w:t>
      </w:r>
      <w:r>
        <w:rPr>
          <w:rFonts w:ascii="Arial" w:hAnsi="Arial" w:cs="Arial" w:eastAsia="Arial"/>
          <w:color w:val="auto"/>
          <w:spacing w:val="0"/>
          <w:position w:val="0"/>
          <w:sz w:val="22"/>
          <w:shd w:fill="auto" w:val="clear"/>
        </w:rPr>
        <w:t xml:space="preserv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5">
    <w:abstractNumId w:val="42"/>
  </w:num>
  <w:num w:numId="18">
    <w:abstractNumId w:val="36"/>
  </w:num>
  <w:num w:numId="21">
    <w:abstractNumId w:val="30"/>
  </w:num>
  <w:num w:numId="24">
    <w:abstractNumId w:val="24"/>
  </w:num>
  <w:num w:numId="42">
    <w:abstractNumId w:val="18"/>
  </w:num>
  <w:num w:numId="62">
    <w:abstractNumId w:val="12"/>
  </w:num>
  <w:num w:numId="64">
    <w:abstractNumId w:val="6"/>
  </w:num>
  <w:num w:numId="6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