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Méthodologie de la Recherche-Action (Recherche Intervention)</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w:t>
      </w:r>
      <w:r>
        <w:rPr>
          <w:rFonts w:ascii="Calibri" w:hAnsi="Calibri" w:cs="Calibri" w:eastAsia="Calibri"/>
          <w:color w:val="auto"/>
          <w:spacing w:val="0"/>
          <w:position w:val="0"/>
          <w:sz w:val="22"/>
          <w:shd w:fill="auto" w:val="clear"/>
        </w:rPr>
        <w:t xml:space="preserve">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Pr.Baribi</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Méthodologie de la recherche-action » (recherche intervention) vise à rendre le bénéficiaire capable de mobiliser un ensemble de ressources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savoirs, savoir-faire et savoir-</w:t>
      </w:r>
      <w:r>
        <w:rPr>
          <w:rFonts w:ascii="Calibri" w:hAnsi="Calibri" w:cs="Calibri" w:eastAsia="Calibri"/>
          <w:color w:val="auto"/>
          <w:spacing w:val="0"/>
          <w:position w:val="0"/>
          <w:sz w:val="22"/>
          <w:shd w:fill="auto" w:val="clear"/>
        </w:rPr>
        <w:t xml:space="preserve">être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et de les investir dans la proposition de solutions pratiques </w:t>
      </w:r>
      <w:r>
        <w:rPr>
          <w:rFonts w:ascii="Calibri" w:hAnsi="Calibri" w:cs="Calibri" w:eastAsia="Calibri"/>
          <w:color w:val="auto"/>
          <w:spacing w:val="0"/>
          <w:position w:val="0"/>
          <w:sz w:val="22"/>
          <w:shd w:fill="auto" w:val="clear"/>
        </w:rPr>
        <w:t xml:space="preserve">à des problèmes professionnels liés aux missions et fonctions de l'enseignant, en s'appuyant sur les outils méthodologiques acquis pour mener une recherche-intervention.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sont les suivants : se familiariser avec le concept de recherche-intervention et les notions associées ; connaître la méthodologie de réalisation d'une recherche-intervention ; développer la capacité d'observation et de recensement des problèmes pédagogiques et professionnels ; mobiliser les méthodes et outils de la recherche scientifique adaptés à la recherche-intervention ; mettre en </w:t>
      </w:r>
      <w:r>
        <w:rPr>
          <w:rFonts w:ascii="Calibri" w:hAnsi="Calibri" w:cs="Calibri" w:eastAsia="Calibri"/>
          <w:color w:val="auto"/>
          <w:spacing w:val="0"/>
          <w:position w:val="0"/>
          <w:sz w:val="22"/>
          <w:shd w:fill="auto" w:val="clear"/>
        </w:rPr>
        <w:t xml:space="preserve">œuvre cette m</w:t>
      </w:r>
      <w:r>
        <w:rPr>
          <w:rFonts w:ascii="Calibri" w:hAnsi="Calibri" w:cs="Calibri" w:eastAsia="Calibri"/>
          <w:color w:val="auto"/>
          <w:spacing w:val="0"/>
          <w:position w:val="0"/>
          <w:sz w:val="22"/>
          <w:shd w:fill="auto" w:val="clear"/>
        </w:rPr>
        <w:t xml:space="preserve">éthodologie pour réaliser une recherche-intervention ; et enfin l'utiliser pour traiter des problèmes professionnels réels rencontrés en milieu scolaire.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se distingue fondamentalement du module « Analyse de pratique » : alors que l'analyse de pratique vise la compréhension réflexive d'une pratique vécue, la recherche-intervention vise la transformation méthodique d'une situation problématique, selon un cycle structuré (problématisation, hypothèses, plan de recherche, collecte et analyse de données, recommandations) directement issu de la recherche scientifique, mais appliqué à une question professionnelle concrète et contextualisée. Pour un enseignant d'informatique, cette démarche est particulièrement adaptée à l'évaluation de l'efficacité d'un outil numérique ou d'une méthode pédagogique nouvellement introduite dans sa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la recherche-intervention conduite par le stagiaire, portant sur l'effet de l'usage de la visualisation interactive 3D (produite dans le cadre du module Atelier de production didactique) sur la compréhension, par les élèves, des composants de l'unité centrale. Le rapport présente le cadre théorique mobilisé, la démarche méthodologique suivie, les outils de collecte de données, l'analyse des résultats, ainsi qu'une mise en situation analysée et un bilan personnel.</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Cadrage de la recherche-intervention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cadrage du projet de recherche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 concerné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Problème pédagogique observé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Faible mémorisation, par les élèves, du nom et de la fonction des composants de l'unité centrale lorsqu'ils sont présentés uniquement via des schémas statiques du manuel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Question de recherche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Dans quelle mesure l'usage d'une visualisation interactive 3D améliore-t-il, par rapport à un support statique, la capacité des élèves à identifier et nommer les composants de l'unité centrale et leur fonction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 de recherche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Recherche-intervention (et non recherche académique) : amélioration d'une pratique de classe réelle, contextualisée à l'établissement de stage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Différence avec la recherche académique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Échantillon restreint (2 classes du même établissement, non représentatif au sens statistique) ; finalité d'amélioration immédiate de la pratique du stagiaire, et non de généralisation scientifique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support de l'expérimentation</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Découverte de l'unité centrale (cf. modules Analyse de pratique et Production didactique)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 minutes, dans les deux groupes (groupe témoin et groupe expérimental)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Identifier les principaux composants de l'unité centrale et leur fonction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Condition « groupe témoin »</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Présentation des composants via les schémas statiques du manuel scolaire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Condition « groupe expérimental »</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Présentation des composants via l'application interactive 3D produite par le stagiaire (module Production didactique)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Variable contrôlée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Même enseignant, même durée, même objectif et même évaluation finale pour les deux groupes ; seul le support de présentation diffère</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 (instrument de collecte de données)</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post-séance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Composants de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Consigne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Individuellement, légendez le schéma de l'unité centrale (4 composants) et indiquez pour chacun sa fonction principale en une phrase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Individuel, 10 minutes, administré immédiatement après la séance dans les deux groupes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Rôle dans la recherche-intervention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 l'instrument principal de collecte de données (outil de mesure de la variable « identification et fonction des composants »)</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(formulation de la problématique)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Problème initial (constat de terrain)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Lors de l'analyse de pratique (module dédié), il a été observé que seuls 3 binômes sur 9 manipulaient activement le matériel lors d'une séance utilisant un seul exemplaire de boîtier ouvert pour toute la classe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Hypothèse de recherche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visualisation interactive 3D, accessible à tous les élèves simultanément (sur poste ou en projection), permettrait une amélioration mesurable de l'identification des composants par rapport au support statique du manuel, en compensant l'impossibilité d'une manipulation physique généralisée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Démarche retenue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Comparaison de deux groupes (témoin / expérimental) sur un même test post-séance, suivie d'une analyse des résultats et, si l'hypothèse est confirmée, de recommandations pour la généralisation du support 3D</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Limite méthodologique assumée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L'échantillon (deux classes d'un même établissement) ne permet pas une généralisation scientifique ; les résultats ont une portée locale, propre à la recherche-intervention</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Démarche méthodologique et outils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Étapes de la recherche-intervention » du syllabus (problématique et hypothèses ; identification des problèmes pédagogiques ; cadre théorique ; choix des ressources et des études antérieures ; respect des règles de citation selon les normes APA/MLA ; collecte et analyse des données ; identification du devis de recherche adapté ; constitution de l'échantillon ; choix des outils de collecte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observation, questionnaire, entretien, test), les </w:t>
      </w:r>
      <w:r>
        <w:rPr>
          <w:rFonts w:ascii="Calibri" w:hAnsi="Calibri" w:cs="Calibri" w:eastAsia="Calibri"/>
          <w:color w:val="auto"/>
          <w:spacing w:val="0"/>
          <w:position w:val="0"/>
          <w:sz w:val="22"/>
          <w:shd w:fill="auto" w:val="clear"/>
        </w:rPr>
        <w:t xml:space="preserve">étapes suivantes ont été suivies.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Cadre théorique mobilisé (cartes conceptuelles)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carte conceptuelle a été élaborée pour situer la recherche-intervention par rapport aux cadres théoriques disponibles, en mobilisant en particulier la théorie de l'apprentissage multimédia (vue dans le module Didactique de l'informatique), qui postule que la combinaison de modalités visuelle et interactive favorise l'encodage et la mémorisation par rapport à un support uniquement visuel statique.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Concept théorique</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Source (étude antérieure)</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Lien avec la recherche-intervention</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Théorie de l'apprentissage multimédia (charge cognitive)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Vue dans le module Didactique de l'informatique (axe « théories d'apprentissage »)</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Justifie l'hypothèse selon laquelle l'interactivité 3D réduit la charge cognitive nécessaire à l'identification spatiale des composants</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Transposition didactique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Vue dans le module Didactique de l'informatique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visualisation 3D constitue une transposition didactique alternative au schéma statique du manuel</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sur les normes de citation : conformément à l'exigence du syllabus de respecter les règles de citation selon un système reconnu (APA ou MLA), toute référence à une étude antérieure dans le cadre de cette recherche-intervention est présentée selon le format auteur-date (norme APA), par exemple : (Mayer, théorie de l'apprentissage multimédia, vue en formation CRMEF, module Didactique de l'informatique).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Devis de recherche et échantillon</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Élément méthodologique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Choix retenu et justification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Devis de recherche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Devis quasi-expérimental à deux groupes (témoin / expérimental), sans randomisation individuelle (groupes constitués = classes existantes), adapté aux contraintes d'une recherche-intervention en milieu scolaire réel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Échantillon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classes de 2ème Année du cycle Collégial de l'établissement de stage, soit environ 50 élèves (26 + 24)</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Critère d'affectation aux groupes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Affectation par classe entière (et non par élève), pour des raisons pratiques et éthiques (pas de discrimination entre élèves d'une même classe)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Outils de collecte de données</w:t>
      </w:r>
    </w:p>
    <w:tbl>
      <w:tblPr/>
      <w:tblGrid>
        <w:gridCol w:w="2400"/>
        <w:gridCol w:w="4280"/>
        <w:gridCol w:w="268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Outil</w:t>
            </w:r>
          </w:p>
        </w:tc>
        <w:tc>
          <w:tcPr>
            <w:tcW w:w="42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Description</w:t>
            </w:r>
          </w:p>
        </w:tc>
        <w:tc>
          <w:tcPr>
            <w:tcW w:w="2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 de données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post-séance (A.3)</w:t>
            </w:r>
          </w:p>
        </w:tc>
        <w:tc>
          <w:tcPr>
            <w:tcW w:w="4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Légende d'un schéma de l'unité centrale (4 composants) avec fonction associée</w:t>
            </w:r>
          </w:p>
        </w:tc>
        <w:tc>
          <w:tcPr>
            <w:tcW w:w="2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Quantitatives (score sur 8) et qualitatives (formulation des fonctions)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Grille d'observation</w:t>
            </w:r>
          </w:p>
        </w:tc>
        <w:tc>
          <w:tcPr>
            <w:tcW w:w="4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du niveau d'engagement des élèves pendant la présentation (sur le modèle de la grille du module Analyse de pratique)</w:t>
            </w:r>
          </w:p>
        </w:tc>
        <w:tc>
          <w:tcPr>
            <w:tcW w:w="2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Qualitatives (niveau d'engagement par binôme)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Questionnaire de perception</w:t>
            </w:r>
          </w:p>
        </w:tc>
        <w:tc>
          <w:tcPr>
            <w:tcW w:w="4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questions fermées + 1 question ouverte sur la préférence du support, administré uniquement au groupe expérimental après le test</w:t>
            </w:r>
          </w:p>
        </w:tc>
        <w:tc>
          <w:tcPr>
            <w:tcW w:w="2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Mixtes (échelle de Likert + verbatims)</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revue des outils entre pairs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aux activités du module (analyse de documents scientifiques et officiels, productions individuelles et en groupe), les trois outils de collecte (B.3) ont été soumis à une revue par un pair stagiaire, qui a notamment recommandé de reformuler la question ouverte du questionnaire de perception (initialement « avez-vous aimé l'application ? ») en une question moins suggestive (« qu'avez-vous trouvé le plus utile pour mémoriser les composants ? »), afin de réduire le biais de désirabilité sociale dans les réponses des élèves.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Collecte, analyse et interpr</w:t>
      </w:r>
      <w:r>
        <w:rPr>
          <w:rFonts w:ascii="Calibri" w:hAnsi="Calibri" w:cs="Calibri" w:eastAsia="Calibri"/>
          <w:b/>
          <w:color w:val="2E75B6"/>
          <w:spacing w:val="0"/>
          <w:position w:val="0"/>
          <w:sz w:val="26"/>
          <w:shd w:fill="auto" w:val="clear"/>
        </w:rPr>
        <w:t xml:space="preserve">étation des résultats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partie présente les résultats de la recherche-intervention, conformément à l'axe « collecte des données, leur analyse et leur interprétation, ainsi que la rédaction des résultats » du syllabus.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Contrôle continu (productions intermédiaires : fiche de cadrage, outils, revue par pairs)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Examen de fin de module (rapport de recherche-intervention finalisé)</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(12 heures de cours, 35 % ; 18 heures d'activités pratiques, 53 %, essentiellement analyse et production de documents et supports ; 4 heures d'évaluation, 12 %).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Résultats du test post-séance (instrument A.3)</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Indicateur</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Groupe témoin (n=26, support statique)</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Groupe expérimental (n=24, support 3D)</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Score moyen (sur 8)</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4,6 / 8</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 8</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Composants correctement nommés (moyenne sur 4)</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 / 4</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 / 4</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Fonctions correctement formulées (moyenne sur 4)</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 4</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 / 4</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Composant le plus souvent confondu</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Disque dur / ventilateur du processeur (cf. module Analyse de pratique)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RAM / disque dur (confusion moindre, persiste pour 5 élèves)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Interprétation : le score moyen au test post-séance est supérieur de 1,7 point (sur 8) dans le groupe expérimental par rapport au groupe témoin, soit une amélioration relative d'environ 37 %. L'écart est plus marqué sur la formulation des fonctions (+1 point) que sur la simple identification du nom des composants (+0,7 point), ce qui suggère que l'apport principal du support 3D porte sur la compréhension fonctionnelle (grâce aux info-bulles explicatives) plutôt que sur la seule reconnaissance visuelle.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Résultats de la grille d'observation (engagement)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L'observation du niveau d'engagement, réalisée selon une grille à 3 niveaux (faible / moyen / élevé) appliquée à chaque binôme pendant la présentation, donne les résultats suivants :</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 d'engagement observé</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Groupe témoin (13 binômes)</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Groupe expérimental (12 binômes)</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Élevé</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binômes (23 %)</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binômes (75 %)</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Moyen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binômes (46 %)</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binômes (25 %)</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Faible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binômes (31 %)</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 binôme (0 %)</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Résultats du questionnaire de perception (groupe expérimental, n=24)</w:t>
      </w:r>
    </w:p>
    <w:p>
      <w:pPr>
        <w:numPr>
          <w:ilvl w:val="0"/>
          <w:numId w:val="1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J'ai trouvé l'application facile à utiliser » : 21/24 élèves d'accord ou tout à fait d'accord.</w:t>
      </w:r>
    </w:p>
    <w:p>
      <w:pPr>
        <w:numPr>
          <w:ilvl w:val="0"/>
          <w:numId w:val="1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L'application m'a aidé à comprendre où se trouve chaque composant » : 22/24 élèves d'accord ou tout à fait d'accord.</w:t>
      </w:r>
    </w:p>
    <w:p>
      <w:pPr>
        <w:numPr>
          <w:ilvl w:val="0"/>
          <w:numId w:val="1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Je préfère ce support au schéma du livre » : 19/24 élèves d'accord ou tout à fait d'accord.</w:t>
      </w:r>
    </w:p>
    <w:p>
      <w:pPr>
        <w:numPr>
          <w:ilvl w:val="0"/>
          <w:numId w:val="1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 ouverte (« qu'avez-vous trouvé le plus utile pour mémoriser les composants ? ») : la réponse la plus fréquente (12/24) mentionne explicitement les info-bulles bilingues (français/darija), confirmant l'apport relevé en C.2 sur la formulation des fonctions.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C.5. Synthèse des résultats et recommandations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comparaison des trois sources de données (test post-séance, observation de l'engagement, questionnaire de perception) converge vers une confirmation de l'hypothèse de recherche (A.4) : le support de visualisation interactive 3D est associé à une amélioration des scores au test post-séance, à un engagement observé plus élevé, et à une perception positive majoritaire des élèves, en particulier concernant la compréhension fonctionnelle des composants.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Recommandations issues de la recherche-intervention :</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Généraliser l'usage du support 3D pour l'introduction de cette notion lors des prochaines séances, en conservant le support statique du manuel comme complément (et non comme substitut), notamment pour la trace écrite.</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Porter une attention particulière à la confusion persistante RAM / disque dur (5 élèves du groupe expérimental), qui n'a pas été résolue par le support 3D et nécessite une remédiation spécifique (cf. module Évaluation/Remédiation).</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Étendre cette démarche de recherche-intervention à d'autres notions du curriculum pour lesquelles un support 3D ou interactif pourrait être développé (cf. module Production didactique), en reproduisant le même devis quasi-expérimental à deux groupes.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correspond à la passation du test post-séance (instrument A.3) dans le groupe expérimental. L'événement marquant concerne le temps de passation : alors que le test était conçu pour durer 10 minutes (identique au groupe témoin), plusieurs élèves du groupe expérimental ont mis plus de temps que prévu, certains ajoutant spontanément des annotations supplémentaires sur le schéma (flèches, commentaires en darija) non demandées par la consigne.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w:t>
      </w:r>
      <w:r>
        <w:rPr>
          <w:rFonts w:ascii="Calibri" w:hAnsi="Calibri" w:cs="Calibri" w:eastAsia="Calibri"/>
          <w:b/>
          <w:color w:val="auto"/>
          <w:spacing w:val="0"/>
          <w:position w:val="0"/>
          <w:sz w:val="22"/>
          <w:shd w:fill="auto" w:val="clear"/>
        </w:rPr>
        <w:t xml:space="preserve">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sur 24 élèves du groupe expérimental, 9 ont dépassé le temps de 10 minutes (jusqu'à 13 minutes), contre 2 sur 26 dans le groupe témoin ; les annotations spontanées concernaient majoritairement le composant « processeur » et reprenaient un vocabulaire (« le cerveau qui calcule ») entendu dans les info-bulles de l'application 3D.</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un instrument de collecte de données conçu pour être identique dans les deux groupes (condition de comparabilité du devis quasi-expérimental, B.2) peut-il être faussé si l'un des groupes produit, de fait, des réponses plus riches que ce que l'instrument était censé mesurer ?</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sur le plan méthodologique, ce constat ne remet pas en cause la comparabilité du score quantitatif (C.2), qui porte sur les éléments demandés par la consigne. Cependant, il révèle une donnée qualitative non anticipée par le devis initial : l'enrichissement spontané du vocabulaire des élèves, alimenté par les info-bulles de l'application, constitue un effet de l'intervention non capturé par les outils B.3 initialement prévus.</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pour une prochaine itération de la recherche-intervention, ajouter une grille d'analyse qualitative du vocabulaire employé dans les réponses (et pas seulement leur exactitude), permettant de documenter ce type d'effet « enrichissement lexical » repéré ici de manière fortuite ; par ailleurs, ajuster le temps de passation du test à 15 minutes pour le groupe expérimental dans une future itération, ou accepter explicitement un temps de passation différencié comme variable d'intérêt.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la suite immédiate de l'intervention (et non une nouvelle itération complète de la recherche), la résolution retenue a consisté à conserver le score quantitatif C.2 comme indicateur principal (non remis en cause), mais à constituer, à partir des copies du groupe expérimental, un corpus qualitatif des annotations spontanées, analysé a posteriori pour documenter l'enrichissement lexical relevé en D.1. Cette analyse complémentaire a été présentée comme un résultat secondaire de la recherche-intervention, distinct du résultat principal (C.2 à C.4).</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 de cette analyse complémentaire : sur les 9 copies présentant des annotations spontanées, 7 reprenaient un vocabulaire issu des info-bulles de l'application (« le cerveau qui calcule » pour le processeur, « la mémoire qui oublie tout si on éteint » pour la RAM), confirmant que l'effet de l'intervention dépasse le score mesuré par l'instrument initial et touche également l'appropriation d'un vocabulaire métaphorique facilitant la mémorisation.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Conception des instruments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Instrument quantitatif robuste, mais ne capturant pas un effet qualitatif important (enrichissement lexical)</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Prévoir systématiquement un volet qualitatif (analyse de corpus, verbatims) en complément des scores quantitatifs</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Comparabilité des groupes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Devis quasi-expérimental globalement respecté malgré la différence de temps de passation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Documenter explicitement toute différence de conditions de passation, même mineure, dans le rapport final</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Portée des résultats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cohérents avec le cadre théorique mobilisé (B.1), mais limités à l'échantillon local</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Formuler les recommandations (C.5) comme des pistes à confirmer, et non comme des conclusions généralisables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au stagiaire de mobiliser, de manière intégrée, des compétences issues de plusieurs modules antérieurs : le constat de départ provient du module Analyse de pratique, l'objet de l'intervention (l'application 3D) provient du module Production didactique, le cadre théorique mobilisé provient du module Didactique de l'informatique, et les outils de collecte (test, grille, questionnaire) s'apparentent à ceux du module Évaluation des apprentissages. La recherche-intervention apparaît ainsi comme un module "intégrateur", qui donne du sens à l'articulation entre les différents modules de la formation.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principale découverte méthodologique a été la différence entre un résultat "attendu" (l'amélioration du score au test, conforme à l'hypothèse) et un résultat "émergent" (l'enrichissement lexical spontané, non anticipé par les instruments initiaux). Cette expérience a permis de comprendre qu'une recherche-intervention, contrairement à une simple évaluation de dispositif, doit rester attentive aux données qui débordent du cadre initialement prévu, sans pour autant abandonner la rigueur du devis méthodologique choisi.</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initiale à formuler une question de recherche suffisamment précise pour être mesurable, tout en restant pertinente pour la pratique réelle du stagiaire.</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Contrainte éthique et pratique de l'affectation aux groupes par classe entière (et non par élève), limitant la portée du devis quasi-expérimental par rapport à un devis pleinement randomisé.</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Risque de biais de désirabilité sociale dans le questionnaire de perception, partiellement traité grâce à la revue par les pairs (B.4) mais non totalement éliminé.</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d'un résultat émergent (enrichissement lexical, partie D) non prévu par les instruments initiaux, nécessitant une analyse complémentaire a posteriori.</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toute future recherche-intervention, prévoir systématiquement, dès la conception des instruments (B.3), un volet qualitatif ouvert permettant de capturer des effets émergents non anticipés par les hypothèses initiales.</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Documenter de manière exhaustive, dans le rapport final, toutes les différences de conditions entre groupes (même mineures, comme le temps de passation), afin de renforcer la transparence méthodologique malgré les limites du devis quasi-expérimental.</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Reproduire la démarche testée ici (devis à deux groupes, triangulation des données quantitatives et qualitatives) sur d'autres notions du curriculum pour lesquelles une ressource numérique a été ou pourra être produite (module Production didactique), afin de constituer progressivement un corpus de recherches-interventions sur l'apport du numérique en informatique.</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Approfondir la maîtrise des normes de citation (APA/MLA) en vue de la rédaction du mémoire de fin de formation, en s'appuyant sur les références théoriques mobilisées dans cette recherche-intervention (B.1).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fiche de cadrage de recherche-intervention</w:t>
      </w:r>
    </w:p>
    <w:p>
      <w:pPr>
        <w:numPr>
          <w:ilvl w:val="0"/>
          <w:numId w:val="1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Problème pédagogique observé (à partir d'une pratique vécue en stage)</w:t>
      </w:r>
    </w:p>
    <w:p>
      <w:pPr>
        <w:numPr>
          <w:ilvl w:val="0"/>
          <w:numId w:val="1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 de recherche (formulée de manière mesurable)</w:t>
      </w:r>
    </w:p>
    <w:p>
      <w:pPr>
        <w:numPr>
          <w:ilvl w:val="0"/>
          <w:numId w:val="1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Hypothèse de recherche</w:t>
      </w:r>
    </w:p>
    <w:p>
      <w:pPr>
        <w:numPr>
          <w:ilvl w:val="0"/>
          <w:numId w:val="1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Devis de recherche et échantillon</w:t>
      </w:r>
    </w:p>
    <w:p>
      <w:pPr>
        <w:numPr>
          <w:ilvl w:val="0"/>
          <w:numId w:val="1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Outils de collecte de données envisagés</w:t>
      </w:r>
    </w:p>
    <w:p>
      <w:pPr>
        <w:numPr>
          <w:ilvl w:val="0"/>
          <w:numId w:val="1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Limites méthodologiques assumées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Grille d'observation de l'engagement (modèle)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3 niveaux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Élevé / Moyen / Faible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avec indicateurs comportementaux observables pour chaque niveau : participation orale, manipulation du support, sollicitations hors-sujet, </w:t>
      </w:r>
      <w:r>
        <w:rPr>
          <w:rFonts w:ascii="Calibri" w:hAnsi="Calibri" w:cs="Calibri" w:eastAsia="Calibri"/>
          <w:color w:val="auto"/>
          <w:spacing w:val="0"/>
          <w:position w:val="0"/>
          <w:sz w:val="22"/>
          <w:shd w:fill="auto" w:val="clear"/>
        </w:rPr>
        <w:t xml:space="preserve">à compléter par binôme pendant la séance d'intervention.)</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d'une copie annotée spontanément par un élève du groupe expérimental (cf. partie D), montrant le schéma de l'unité centrale légendé conformément à la consigne, avec une annotation supplémentaire en marge (« le cerveau qui calcule » à côté du processeur), illustrant l'effet d'enrichissement lexical documenté en D.2.</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d'élève (groupe témoin,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 d'un élève du groupe témoin au test post-séance, montrant une identification correcte de 3 composants sur 4 mais des fonctions formulées de manière très succincte (« sert à calculer », « sert à stocker »), sans élément métaphorique ou explicatif supplémentaire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exemple repr</w:t>
      </w:r>
      <w:r>
        <w:rPr>
          <w:rFonts w:ascii="Calibri" w:hAnsi="Calibri" w:cs="Calibri" w:eastAsia="Calibri"/>
          <w:color w:val="auto"/>
          <w:spacing w:val="0"/>
          <w:position w:val="0"/>
          <w:sz w:val="22"/>
          <w:shd w:fill="auto" w:val="clear"/>
        </w:rPr>
        <w:t xml:space="preserve">ésentatif du score moyen du groupe témoin (C.2) et utilisé comme point de comparaison avec l'annexe 3.</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6">
    <w:lvl w:ilvl="0">
      <w:start w:val="1"/>
      <w:numFmt w:val="bullet"/>
      <w:lvlText w:val="•"/>
    </w:lvl>
  </w:abstractNum>
  <w:abstractNum w:abstractNumId="13">
    <w:lvl w:ilvl="0">
      <w:start w:val="1"/>
      <w:numFmt w:val="decimal"/>
      <w:lvlText w:val="%1."/>
    </w:lvl>
  </w:abstractNum>
  <w:abstractNum w:abstractNumId="12">
    <w:lvl w:ilvl="0">
      <w:start w:val="1"/>
      <w:numFmt w:val="bullet"/>
      <w:lvlText w:val="•"/>
    </w:lvl>
  </w:abstractNum>
  <w:num w:numId="151">
    <w:abstractNumId w:val="12"/>
  </w:num>
  <w:num w:numId="154">
    <w:abstractNumId w:val="13"/>
  </w:num>
  <w:num w:numId="159">
    <w:abstractNumId w:val="7"/>
  </w:num>
  <w:num w:numId="178">
    <w:abstractNumId w:val="6"/>
  </w:num>
  <w:num w:numId="180">
    <w:abstractNumId w:val="1"/>
  </w:num>
  <w:num w:numId="18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