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auto"/>
          <w:spacing w:val="0"/>
          <w:position w:val="0"/>
          <w:sz w:val="24"/>
          <w:shd w:fill="auto" w:val="clear"/>
        </w:rPr>
        <w:t xml:space="preserve">Royaume du Maroc</w:t>
      </w:r>
    </w:p>
    <w:p>
      <w:pPr>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Ministère de l'Éducation Nationale, du Préscolaire et des Sports</w:t>
      </w:r>
    </w:p>
    <w:p>
      <w:pPr>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Centre Régional des Métiers de l'Éducation et de la Formation (CRMEF) - Marrakech</w:t>
      </w:r>
    </w:p>
    <w:p>
      <w:pPr>
        <w:spacing w:before="100" w:after="20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F4E79"/>
          <w:spacing w:val="0"/>
          <w:position w:val="0"/>
          <w:sz w:val="40"/>
          <w:shd w:fill="auto" w:val="clear"/>
        </w:rPr>
        <w:t xml:space="preserve">RAPPORT DE MODULE</w:t>
      </w:r>
    </w:p>
    <w:p>
      <w:pPr>
        <w:spacing w:before="0" w:after="4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2E75B6"/>
          <w:spacing w:val="0"/>
          <w:position w:val="0"/>
          <w:sz w:val="32"/>
          <w:shd w:fill="auto" w:val="clear"/>
        </w:rPr>
        <w:t xml:space="preserve">Module : Apprentissage numérique (TICE)</w:t>
      </w:r>
    </w:p>
    <w:p>
      <w:pPr>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Filière : Qualification des enseignants - Spécialité Informatique</w:t>
      </w:r>
    </w:p>
    <w:p>
      <w:pPr>
        <w:spacing w:before="0" w:after="4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Promotion 2025-2026</w:t>
      </w:r>
    </w:p>
    <w:p>
      <w:pPr>
        <w:spacing w:before="0" w:after="6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Professeur stagiaire : Yassine Hafidi</w:t>
      </w:r>
    </w:p>
    <w:p>
      <w:pPr>
        <w:spacing w:before="0" w:after="6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Encadrante pédagogique : Pr. Serrar</w:t>
      </w:r>
    </w:p>
    <w:p>
      <w:pPr>
        <w:spacing w:before="0" w:after="12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Année universitaire : 2025-2026</w:t>
      </w:r>
    </w:p>
    <w:p>
      <w:pPr>
        <w:pageBreakBefore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br/>
      </w:r>
    </w:p>
    <w:p>
      <w:pPr>
        <w:spacing w:before="320" w:after="200" w:line="240"/>
        <w:ind w:right="0" w:left="0" w:firstLine="0"/>
        <w:jc w:val="lef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Introduction</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 module Apprentissage numérique (TICE), commun à toutes les spécialités, vise à doter le professeur stagiaire des compétences nécessaires pour produire du contenu numérique à visée éducative, dans le respect des normes éthiques et des orientations nationales, tout en développant son autonomie et sa capacité d'innovation pédagogique. Au terme de ce module, le bénéficiaire est capable de rechercher, sélectionner, adapter et partager des ressources numériques conformes aux curricula, de produire des ressources accessibles favorisant l'inclusion et la différenciation des apprentissages, et de mobiliser l'intelligence artificielle générative de manière responsable. Les compétences visées incluent la connaissance des stratégies nationales et internationales en matière de TICE (stratégie nationale, plateformes E-takwine, MOOC), la maîtrise des modèles d'intégration du numérique (SAMR, RABY), la production de ressources éducatives numériques variées (capsules vidéo, cartes heuristiques, livres numériques, exercices interactifs), ainsi que la collaboration et la veille professionnelle via le numérique. Pour le métier d'enseignant d'informatique, ce module est particulièrement structurant : au-delà de la maîtrise technique des outils, il développe une posture réflexive sur l'usage du numérique en classe, indispensable pour accompagner les élèves vers des pratiques numériques responsables et pour transformer progressivement des séances traditionnelles en séances enrichies par le numérique, dans une logique d'amélioration continue.</w:t>
      </w:r>
    </w:p>
    <w:p>
      <w:pPr>
        <w:spacing w:before="320" w:after="200" w:line="240"/>
        <w:ind w:right="0" w:left="0" w:firstLine="0"/>
        <w:jc w:val="lef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Développement structuré</w:t>
      </w:r>
    </w:p>
    <w:p>
      <w:pPr>
        <w:spacing w:before="240" w:after="140" w:line="240"/>
        <w:ind w:right="0" w:left="0" w:firstLine="0"/>
        <w:jc w:val="left"/>
        <w:rPr>
          <w:rFonts w:ascii="Arial" w:hAnsi="Arial" w:cs="Arial" w:eastAsia="Arial"/>
          <w:b/>
          <w:color w:val="2E75B6"/>
          <w:spacing w:val="0"/>
          <w:position w:val="0"/>
          <w:sz w:val="27"/>
          <w:shd w:fill="auto" w:val="clear"/>
        </w:rPr>
      </w:pPr>
      <w:r>
        <w:rPr>
          <w:rFonts w:ascii="Arial" w:hAnsi="Arial" w:cs="Arial" w:eastAsia="Arial"/>
          <w:b/>
          <w:color w:val="2E75B6"/>
          <w:spacing w:val="0"/>
          <w:position w:val="0"/>
          <w:sz w:val="27"/>
          <w:shd w:fill="auto" w:val="clear"/>
        </w:rPr>
        <w:t xml:space="preserve">A. Fiches pédagogiques</w:t>
      </w: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1. Fiche de séquence</w:t>
      </w:r>
    </w:p>
    <w:tbl>
      <w:tblPr/>
      <w:tblGrid>
        <w:gridCol w:w="3120"/>
        <w:gridCol w:w="6240"/>
      </w:tblGrid>
      <w:tr>
        <w:trPr>
          <w:trHeight w:val="1" w:hRule="atLeast"/>
          <w:jc w:val="left"/>
        </w:trPr>
        <w:tc>
          <w:tcPr>
            <w:tcW w:w="312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Élément</w:t>
            </w:r>
          </w:p>
        </w:tc>
        <w:tc>
          <w:tcPr>
            <w:tcW w:w="624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Description</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Module / Discipline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Informatique - 2ème Année Collège (séquence enrichie par les TICE)</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Titre de la séquence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Découvrir l'unité centrale avec le numérique : du modèle SAMR à la production de ressources</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Durée totale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4 séances de 50 minutes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3h20)</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Compétence visée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Intégrer des ressources numériques variées (3D, capsule vidéo, exercice interactif) dans une séquence sur l'unité centrale, selon une progression conforme au modèle SAMR</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Pré-requis</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Maîtrise de base des outils numériques (navigation, recherche d'information)</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Démarche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Pédagogie active intégrant les TICE : classe inversée, visualisation 3D interactive, exercice auto-correctif en ligne</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Découpage de la séquence en séances (niveaux SAMR croissants) :</w:t>
      </w:r>
    </w:p>
    <w:tbl>
      <w:tblPr/>
      <w:tblGrid>
        <w:gridCol w:w="1800"/>
        <w:gridCol w:w="3000"/>
        <w:gridCol w:w="3960"/>
      </w:tblGrid>
      <w:tr>
        <w:trPr>
          <w:trHeight w:val="1" w:hRule="atLeast"/>
          <w:jc w:val="left"/>
        </w:trPr>
        <w:tc>
          <w:tcPr>
            <w:tcW w:w="180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Séance</w:t>
            </w:r>
          </w:p>
        </w:tc>
        <w:tc>
          <w:tcPr>
            <w:tcW w:w="300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Titre</w:t>
            </w:r>
          </w:p>
        </w:tc>
        <w:tc>
          <w:tcPr>
            <w:tcW w:w="396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Niveau SAMR / Objectifs</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Séance 1</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Découverte de l'unité centrale (Substitution)</w:t>
            </w:r>
          </w:p>
        </w:tc>
        <w:tc>
          <w:tcPr>
            <w:tcW w:w="39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La capsule vidéo remplace l'exposé oral classique sans changer la tâche</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Séance 2</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Le processeur et la mémoire (Augmentation)</w:t>
            </w:r>
          </w:p>
        </w:tc>
        <w:tc>
          <w:tcPr>
            <w:tcW w:w="39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La visualisation 3D interactive enrichit l'observation, impossible avec le matériel seul</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Séance 3</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Carte heuristique collaborative (Modification)</w:t>
            </w:r>
          </w:p>
        </w:tc>
        <w:tc>
          <w:tcPr>
            <w:tcW w:w="39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Les élèves co-construisent une carte heuristique en ligne, modifiant la tâche d'apprentissage habituelle</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Séance 4</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Exercice interactif auto-correctif (Redéfinition)</w:t>
            </w:r>
          </w:p>
        </w:tc>
        <w:tc>
          <w:tcPr>
            <w:tcW w:w="39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Un exercice en ligne avec feedback immédiat permet une évaluation formative impossible sur papier</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2. Fiche de séance</w:t>
      </w:r>
    </w:p>
    <w:tbl>
      <w:tblPr/>
      <w:tblGrid>
        <w:gridCol w:w="3120"/>
        <w:gridCol w:w="6240"/>
      </w:tblGrid>
      <w:tr>
        <w:trPr>
          <w:trHeight w:val="1" w:hRule="atLeast"/>
          <w:jc w:val="left"/>
        </w:trPr>
        <w:tc>
          <w:tcPr>
            <w:tcW w:w="312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Champ</w:t>
            </w:r>
          </w:p>
        </w:tc>
        <w:tc>
          <w:tcPr>
            <w:tcW w:w="624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Contenu</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Niveau</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2ème Année Collège</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Durée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50 minutes</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Sujet</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Carte heuristique collaborative sur les composants de l'unité centrale</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Objectif spécifique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À la fin de la séance, l'élève sera capable de co-construire, à l'aide d'un outil collaboratif en ligne, une carte heuristique structurant les composants de l'unité centrale et leurs rôles</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Pré-requis</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Connaissance des composants étudiés en séances 1 et 2 (CPU, RAM, ROM, disque dur, carte mère)</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Matériel</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Vidéoprojecteur, postes connectés à Internet, outil collaboratif de carte heuristique en ligne, fiche d'activité</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Méthodologie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Travail collaboratif en groupes, production numérique partagée, mise en commun, institutionnalisation</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Déroulement détaillé :</w:t>
      </w:r>
    </w:p>
    <w:tbl>
      <w:tblPr/>
      <w:tblGrid>
        <w:gridCol w:w="2400"/>
        <w:gridCol w:w="3480"/>
        <w:gridCol w:w="3480"/>
      </w:tblGrid>
      <w:tr>
        <w:trPr>
          <w:trHeight w:val="1" w:hRule="atLeast"/>
          <w:jc w:val="left"/>
        </w:trPr>
        <w:tc>
          <w:tcPr>
            <w:tcW w:w="240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Phase / Durée</w:t>
            </w:r>
          </w:p>
        </w:tc>
        <w:tc>
          <w:tcPr>
            <w:tcW w:w="348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Activité du professeur</w:t>
            </w:r>
          </w:p>
        </w:tc>
        <w:tc>
          <w:tcPr>
            <w:tcW w:w="348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Activité de l'élève</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Mise en situation (5 min)</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Rappelle les composants étudiés et présente l'outil de carte heuristique collaborative</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Se connecte à l'outil en ligne, observe l'interface</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Exploration (10 min)</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Présente la structure attendue (n</w:t>
            </w:r>
            <w:r>
              <w:rPr>
                <w:rFonts w:ascii="Arial" w:hAnsi="Arial" w:cs="Arial" w:eastAsia="Arial"/>
                <w:color w:val="auto"/>
                <w:spacing w:val="0"/>
                <w:position w:val="0"/>
                <w:sz w:val="22"/>
                <w:shd w:fill="auto" w:val="clear"/>
              </w:rPr>
              <w:t xml:space="preserve">œud central 'Unit</w:t>
            </w:r>
            <w:r>
              <w:rPr>
                <w:rFonts w:ascii="Arial" w:hAnsi="Arial" w:cs="Arial" w:eastAsia="Arial"/>
                <w:color w:val="auto"/>
                <w:spacing w:val="0"/>
                <w:position w:val="0"/>
                <w:sz w:val="22"/>
                <w:shd w:fill="auto" w:val="clear"/>
              </w:rPr>
              <w:t xml:space="preserve">é centrale', branches pour chaque composant)</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Identifie les branches principales avec son groupe</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Production collaborative (20 min)</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Circule entre les groupes, guide la formulation et la mise en lien des informations</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Complète collaborativement la carte heuristique (rôle, type de mémoire, exemples) en temps réel</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Mise en commun (10 min)</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Projette les différentes cartes produites, anime la comparaison et la synthèse collective</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Présente sa carte, compare avec celles des autres groupes, enrichit sa propre production</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Bilan (5 min)</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Récapitule les apports de l'outil collaboratif, annonce l'exercice interactif de la séance suivante</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Pose des questions, identifie les points à approfondir</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3. Fiche d'activité élève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Titre de l'activité : Notre carte heuristique de l'unité centrale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Consigne : En groupe, complète la carte heuristique collaborative en ligne en ajoutant pour chaque composant son rôle, son type (mémoire vive/morte/aucune) et un exemple concret.</w:t>
      </w:r>
    </w:p>
    <w:tbl>
      <w:tblPr/>
      <w:tblGrid>
        <w:gridCol w:w="2520"/>
        <w:gridCol w:w="3420"/>
        <w:gridCol w:w="3420"/>
      </w:tblGrid>
      <w:tr>
        <w:trPr>
          <w:trHeight w:val="1" w:hRule="atLeast"/>
          <w:jc w:val="left"/>
        </w:trPr>
        <w:tc>
          <w:tcPr>
            <w:tcW w:w="252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Composant (branche)</w:t>
            </w:r>
          </w:p>
        </w:tc>
        <w:tc>
          <w:tcPr>
            <w:tcW w:w="342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Rôle à ajouter</w:t>
            </w:r>
          </w:p>
        </w:tc>
        <w:tc>
          <w:tcPr>
            <w:tcW w:w="342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Information complémentaire à ajouter</w:t>
            </w:r>
          </w:p>
        </w:tc>
      </w:tr>
      <w:tr>
        <w:trPr>
          <w:trHeight w:val="1" w:hRule="atLeast"/>
          <w:jc w:val="left"/>
        </w:trPr>
        <w:tc>
          <w:tcPr>
            <w:tcW w:w="25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Processeur (CPU)</w:t>
            </w:r>
          </w:p>
        </w:tc>
        <w:tc>
          <w:tcPr>
            <w:tcW w:w="34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________________________</w:t>
            </w:r>
          </w:p>
        </w:tc>
        <w:tc>
          <w:tcPr>
            <w:tcW w:w="34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Exemple de marque/modèle</w:t>
            </w:r>
          </w:p>
        </w:tc>
      </w:tr>
      <w:tr>
        <w:trPr>
          <w:trHeight w:val="1" w:hRule="atLeast"/>
          <w:jc w:val="left"/>
        </w:trPr>
        <w:tc>
          <w:tcPr>
            <w:tcW w:w="25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Mémoire RAM</w:t>
            </w:r>
          </w:p>
        </w:tc>
        <w:tc>
          <w:tcPr>
            <w:tcW w:w="34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________________________</w:t>
            </w:r>
          </w:p>
        </w:tc>
        <w:tc>
          <w:tcPr>
            <w:tcW w:w="34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Capacité typique (Go)</w:t>
            </w:r>
          </w:p>
        </w:tc>
      </w:tr>
      <w:tr>
        <w:trPr>
          <w:trHeight w:val="1" w:hRule="atLeast"/>
          <w:jc w:val="left"/>
        </w:trPr>
        <w:tc>
          <w:tcPr>
            <w:tcW w:w="25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Mémoire ROM</w:t>
            </w:r>
          </w:p>
        </w:tc>
        <w:tc>
          <w:tcPr>
            <w:tcW w:w="34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________________________</w:t>
            </w:r>
          </w:p>
        </w:tc>
        <w:tc>
          <w:tcPr>
            <w:tcW w:w="34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Contenu typique (ex. BIOS)</w:t>
            </w:r>
          </w:p>
        </w:tc>
      </w:tr>
      <w:tr>
        <w:trPr>
          <w:trHeight w:val="1" w:hRule="atLeast"/>
          <w:jc w:val="left"/>
        </w:trPr>
        <w:tc>
          <w:tcPr>
            <w:tcW w:w="25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Disque dur / SSD</w:t>
            </w:r>
          </w:p>
        </w:tc>
        <w:tc>
          <w:tcPr>
            <w:tcW w:w="34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________________________</w:t>
            </w:r>
          </w:p>
        </w:tc>
        <w:tc>
          <w:tcPr>
            <w:tcW w:w="34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Capacité typique (To)</w:t>
            </w:r>
          </w:p>
        </w:tc>
      </w:tr>
      <w:tr>
        <w:trPr>
          <w:trHeight w:val="1" w:hRule="atLeast"/>
          <w:jc w:val="left"/>
        </w:trPr>
        <w:tc>
          <w:tcPr>
            <w:tcW w:w="25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Carte mère</w:t>
            </w:r>
          </w:p>
        </w:tc>
        <w:tc>
          <w:tcPr>
            <w:tcW w:w="34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________________________</w:t>
            </w:r>
          </w:p>
        </w:tc>
        <w:tc>
          <w:tcPr>
            <w:tcW w:w="34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Composants qu'elle relie</w:t>
            </w:r>
          </w:p>
        </w:tc>
      </w:tr>
    </w:tbl>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Question de synthèse : Quel avantage présente une carte heuristique numérique collaborative par rapport à une affiche papier réalisée en groupe ? Cite au moins deux avantages liés au numérique.</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4. Fiche de résolution de problème (gestion du temps / imprévu en classe)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Situation professionnelle rencontrée :</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Lors de la séance 3 (carte heuristique collaborative), la connexion Internet de l'établissement a connu un ralentissement important en cours de séance, empêchant plusieurs groupes d'accéder simultanément à l'outil collaboratif en ligne.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Démarche de résolution adoptée :</w:t>
      </w:r>
    </w:p>
    <w:p>
      <w:pPr>
        <w:numPr>
          <w:ilvl w:val="0"/>
          <w:numId w:val="99"/>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Identification rapide du problème : la latence rendait la production collaborative en temps réel difficile pour certains groupes.</w:t>
      </w:r>
    </w:p>
    <w:p>
      <w:pPr>
        <w:numPr>
          <w:ilvl w:val="0"/>
          <w:numId w:val="99"/>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Mobilisation d'une alternative hybride préparée en amont : les groupes les plus affectés ont basculé sur une carte heuristique réalisée localement (application installée, sans nécessité de connexion permanente), avec export et partage différé.</w:t>
      </w:r>
    </w:p>
    <w:p>
      <w:pPr>
        <w:numPr>
          <w:ilvl w:val="0"/>
          <w:numId w:val="99"/>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Réorganisation du temps : la phase de mise en commun a été légèrement allongée pour permettre l'intégration des productions réalisées hors ligne.</w:t>
      </w:r>
    </w:p>
    <w:p>
      <w:pPr>
        <w:numPr>
          <w:ilvl w:val="0"/>
          <w:numId w:val="99"/>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Maintien de l'objectif d'apprentissage (structuration collaborative des connaissances sur l'unité centrale), seul le mode de collaboration ayant été adapté (temps réel vs différé).</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Bilan de la résolution :</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Cette expérience illustre concrètement le principe de modalités hybrides évoqué dans le module : prévoir systématiquement, pour toute activité numérique en ligne, une version fonctionnant en mode local/différé permet de garantir la continuité pédagogique en cas de défaillance de la connexion Internet, fréquente dans certains établissements.</w:t>
      </w:r>
    </w:p>
    <w:p>
      <w:pPr>
        <w:spacing w:before="240" w:after="140" w:line="240"/>
        <w:ind w:right="0" w:left="0" w:firstLine="0"/>
        <w:jc w:val="left"/>
        <w:rPr>
          <w:rFonts w:ascii="Arial" w:hAnsi="Arial" w:cs="Arial" w:eastAsia="Arial"/>
          <w:b/>
          <w:color w:val="2E75B6"/>
          <w:spacing w:val="0"/>
          <w:position w:val="0"/>
          <w:sz w:val="27"/>
          <w:shd w:fill="auto" w:val="clear"/>
        </w:rPr>
      </w:pPr>
      <w:r>
        <w:rPr>
          <w:rFonts w:ascii="Arial" w:hAnsi="Arial" w:cs="Arial" w:eastAsia="Arial"/>
          <w:b/>
          <w:color w:val="2E75B6"/>
          <w:spacing w:val="0"/>
          <w:position w:val="0"/>
          <w:sz w:val="27"/>
          <w:shd w:fill="auto" w:val="clear"/>
        </w:rPr>
        <w:t xml:space="preserve">B. Supports et outils</w:t>
      </w: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1. Grille d'observation de la séance</w:t>
      </w:r>
    </w:p>
    <w:tbl>
      <w:tblPr/>
      <w:tblGrid>
        <w:gridCol w:w="2880"/>
        <w:gridCol w:w="3480"/>
        <w:gridCol w:w="3120"/>
      </w:tblGrid>
      <w:tr>
        <w:trPr>
          <w:trHeight w:val="1" w:hRule="atLeast"/>
          <w:jc w:val="left"/>
        </w:trPr>
        <w:tc>
          <w:tcPr>
            <w:tcW w:w="288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Critère observé</w:t>
            </w:r>
          </w:p>
        </w:tc>
        <w:tc>
          <w:tcPr>
            <w:tcW w:w="348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Indicateur</w:t>
            </w:r>
          </w:p>
        </w:tc>
        <w:tc>
          <w:tcPr>
            <w:tcW w:w="312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Appréciation</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Clarté de la consigne numérique</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Les élèves accèdent à l'outil et démarrent sans blocage technique majeur</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Très satisfaisant / Satisfaisant / À améliorer</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Gestion du temps</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Respect du minutage prévu malgré les aléas techniques</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Très satisfaisant / Satisfaisant / À améliorer</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Collaboration effective</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Tous les membres du groupe contribuent à la production numérique</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Très satisfaisant / Satisfaisant / À améliorer</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Pertinence de la production</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La carte heuristique produite est complète et exacte</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Très satisfaisant / Satisfaisant / À améliorer</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Usage éthique et responsable</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Respect des règles de nétiquette dans les échanges en ligne</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Très satisfaisant / Satisfaisant / À améliorer</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2. Quiz / exercices types</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Exercice 1 : Associez chaque niveau du modèle SAMR (Substitution, Augmentation, Modification, Redéfinition) à un exemple d'usage du numérique dans une séquence sur l'unité centrale.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Exercice 2 : Citez deux plateformes institutionnelles marocaines de développement professionnel en lien avec les TICE et précisez leur finalité respective.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Exercice 3 : Un enseignant souhaite utiliser une image trouvée sur Internet dans une capsule vidéo destinée à ses élèves. Quelles vérifications doit-il effectuer concernant les droits d'auteur et les licences ?</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Exercice 4 : Proposez deux usages pédagogiques responsables et deux usages à éviter de l'intelligence artificielle générative dans la production de contenu éducatif.</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3. Cas pratique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Cas étudié : Dans le cadre de la production de ressources numériques pour la séquence sur l'unité centrale, un fichier HTML interactif intégrant une scène 3D rendue par canvas (représentant la carte mère, le CPU, la RAM, le disque dur, la carte graphique et l'alimentation) a été conçu et testé en classe. Ce cas illustre la production de ressources éducatives numériques étudiée dans le module : l'outil a été évalué selon des critères techniques (compatibilité navigateur, temps de chargement) et pédagogiques (clarté, adéquation au niveau des élèves), puis partagé avec d'autres stagiaires du CRMEF dans une logique de coproduction de ressources.</w:t>
      </w:r>
    </w:p>
    <w:p>
      <w:pPr>
        <w:spacing w:before="240" w:after="140" w:line="240"/>
        <w:ind w:right="0" w:left="0" w:firstLine="0"/>
        <w:jc w:val="left"/>
        <w:rPr>
          <w:rFonts w:ascii="Arial" w:hAnsi="Arial" w:cs="Arial" w:eastAsia="Arial"/>
          <w:b/>
          <w:color w:val="2E75B6"/>
          <w:spacing w:val="0"/>
          <w:position w:val="0"/>
          <w:sz w:val="27"/>
          <w:shd w:fill="auto" w:val="clear"/>
        </w:rPr>
      </w:pPr>
      <w:r>
        <w:rPr>
          <w:rFonts w:ascii="Arial" w:hAnsi="Arial" w:cs="Arial" w:eastAsia="Arial"/>
          <w:b/>
          <w:color w:val="2E75B6"/>
          <w:spacing w:val="0"/>
          <w:position w:val="0"/>
          <w:sz w:val="27"/>
          <w:shd w:fill="auto" w:val="clear"/>
        </w:rPr>
        <w:t xml:space="preserve">C. Mise en situation / Analyse de pratique</w:t>
      </w: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1. Exemple d'une séance analysée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 séance 2 (visualisation 3D interactive du CPU et de la RAM, niveau Augmentation du modèle SAMR) a été analysée a posteriori. Points forts identifiés : la visualisation 3D a permis aux élèves de manipuler virtuellement des composants normalement inaccessibles (ouverture d'une unité centrale), ce qui aurait été impossible sans le numérique - illustrant concrètement le niveau 'Augmentation'. Points à améliorer : l'outil 3D nécessitait une connexion Internet stable, fragilisant la séance en cas de panne de réseau (comme observé en séance 3). Pour la prochaine occurrence, une version téléchargeable ou des captures d'écran annotées seront préparées en complément, garantissant un repli en mode 'Substitution' en cas de problème technique.</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2. Résolution d'un problème professionnel</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Problème : risque que l'intégration du numérique reste cantonnée au niveau 'Substitution' (remplacer un support papier par un support numérique équivalent), sans réelle valeur ajoutée pédagogique, par manque de repères pour situer ses propres pratiques.</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Solution mise en </w:t>
      </w:r>
      <w:r>
        <w:rPr>
          <w:rFonts w:ascii="Arial" w:hAnsi="Arial" w:cs="Arial" w:eastAsia="Arial"/>
          <w:b/>
          <w:color w:val="auto"/>
          <w:spacing w:val="0"/>
          <w:position w:val="0"/>
          <w:sz w:val="22"/>
          <w:shd w:fill="auto" w:val="clear"/>
        </w:rPr>
        <w:t xml:space="preserve">œuvre :</w:t>
      </w:r>
    </w:p>
    <w:p>
      <w:pPr>
        <w:numPr>
          <w:ilvl w:val="0"/>
          <w:numId w:val="127"/>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Utilisation systématique du modèle SAMR comme grille de lecture a posteriori de chaque séance intégrant le numérique, afin d'identifier le niveau réellement atteint.</w:t>
      </w:r>
    </w:p>
    <w:p>
      <w:pPr>
        <w:numPr>
          <w:ilvl w:val="0"/>
          <w:numId w:val="127"/>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Élaboration d'un tableau de suivi personnel recensant, pour chaque séquence enseignée, le niveau SAMR visé et le niveau effectivement observé, avec des pistes pour progresser vers les niveaux supérieurs.</w:t>
      </w:r>
    </w:p>
    <w:p>
      <w:pPr>
        <w:numPr>
          <w:ilvl w:val="0"/>
          <w:numId w:val="127"/>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Priorisation, pour les prochaines séquences, d'au moins une activité de niveau 'Modification' ou 'Redéfinition' (ex. production collaborative, exercice auto-correctif avec feedback adaptatif).</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3. Auto-évaluation du stagiaire</w:t>
      </w:r>
    </w:p>
    <w:tbl>
      <w:tblPr/>
      <w:tblGrid>
        <w:gridCol w:w="3120"/>
        <w:gridCol w:w="6240"/>
      </w:tblGrid>
      <w:tr>
        <w:trPr>
          <w:trHeight w:val="1" w:hRule="atLeast"/>
          <w:jc w:val="left"/>
        </w:trPr>
        <w:tc>
          <w:tcPr>
            <w:tcW w:w="312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Compétence</w:t>
            </w:r>
          </w:p>
        </w:tc>
        <w:tc>
          <w:tcPr>
            <w:tcW w:w="624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Niveau atteint (1 à 4)</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Connaître les stratégies nationales en matière de TICE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3/4</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Sélectionner et évaluer des ressources numériques selon des critères éthiques</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3/4</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Produire des ressources éducatives numériques variées</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4/4</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Situer ses pratiques selon le modèle SAMR et progresser</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3/4</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Utiliser l'IA générative de manière responsable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2/4</w:t>
            </w:r>
          </w:p>
        </w:tc>
      </w:tr>
    </w:tbl>
    <w:p>
      <w:pPr>
        <w:spacing w:before="320" w:after="200" w:line="240"/>
        <w:ind w:right="0" w:left="0" w:firstLine="0"/>
        <w:jc w:val="lef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Conclusion et perspectives</w:t>
      </w: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Bilan personnel du stagiaire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Ce module m'a permis de dépasser une vision purement technique du numérique éducatif pour adopter une posture réflexive, en m'appuyant notamment sur le modèle SAMR pour interroger la valeur ajoutée réelle de chaque outil intégré à mes séances. La conception de la visualisation 3D interactive et de la carte heuristique collaborative pour la séquence sur l'unité centrale m'a permis de produire des ressources concrètes, réutilisables et partageables, tout en développant ma vigilance quant aux questions de droits d'auteur, d'accessibilité et de dépendance technique (connexion Internet).</w:t>
      </w: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Difficultés rencontrées</w:t>
      </w:r>
    </w:p>
    <w:p>
      <w:pPr>
        <w:numPr>
          <w:ilvl w:val="0"/>
          <w:numId w:val="148"/>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Dépendance de plusieurs ressources numériques produites à une connexion Internet stable, source de fragilité en contexte scolaire.</w:t>
      </w:r>
    </w:p>
    <w:p>
      <w:pPr>
        <w:numPr>
          <w:ilvl w:val="0"/>
          <w:numId w:val="148"/>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Difficulté à situer objectivement certaines activités sur l'échelle SAMR, la frontière entre 'Augmentation' et 'Modification' n'étant pas toujours évidente.</w:t>
      </w:r>
    </w:p>
    <w:p>
      <w:pPr>
        <w:numPr>
          <w:ilvl w:val="0"/>
          <w:numId w:val="148"/>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Maîtrise encore limitée des outils d'IA générative et des questions éthiques associées à leur usage en contexte éducatif.</w:t>
      </w: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Axes d'amélioration</w:t>
      </w:r>
    </w:p>
    <w:p>
      <w:pPr>
        <w:numPr>
          <w:ilvl w:val="0"/>
          <w:numId w:val="150"/>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Préparer systématiquement une version de repli hors ligne pour toute ressource numérique nécessitant une connexion Internet.</w:t>
      </w:r>
    </w:p>
    <w:p>
      <w:pPr>
        <w:numPr>
          <w:ilvl w:val="0"/>
          <w:numId w:val="150"/>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Tenir à jour un tableau de suivi SAMR pour l'ensemble des séquences enseignées, afin de progresser consciemment vers des usages à plus forte valeur ajoutée pédagogique.</w:t>
      </w:r>
    </w:p>
    <w:p>
      <w:pPr>
        <w:numPr>
          <w:ilvl w:val="0"/>
          <w:numId w:val="150"/>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Approfondir la formation personnelle sur l'IA générative (fonctionnement, applications, limites éthiques) via les plateformes institutionnelles (E-takwine, MOOC).</w:t>
      </w:r>
    </w:p>
    <w:p>
      <w:pPr>
        <w:numPr>
          <w:ilvl w:val="0"/>
          <w:numId w:val="150"/>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Développer une routine de veille technologique régulière pour identifier de nouvelles ressources éducatives libres (REL) adaptées au curriculum d'informatique.</w:t>
      </w:r>
    </w:p>
    <w:p>
      <w:pPr>
        <w:spacing w:before="320" w:after="200" w:line="240"/>
        <w:ind w:right="0" w:left="0" w:firstLine="0"/>
        <w:jc w:val="lef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Annexes</w:t>
      </w:r>
    </w:p>
    <w:p>
      <w:pPr>
        <w:numPr>
          <w:ilvl w:val="0"/>
          <w:numId w:val="152"/>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Annexe 1 : Stratégie nationale d'intégration des TIC dans l'enseignement (extrait, orientations relatives au cycle collégial).</w:t>
      </w:r>
    </w:p>
    <w:p>
      <w:pPr>
        <w:numPr>
          <w:ilvl w:val="0"/>
          <w:numId w:val="152"/>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Annexe 2 : Capture d'écran de la visualisation 3D interactive de l'unité centrale (fichier HTML/Canvas).</w:t>
      </w:r>
    </w:p>
    <w:p>
      <w:pPr>
        <w:numPr>
          <w:ilvl w:val="0"/>
          <w:numId w:val="152"/>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Annexe 3 : Exemple de carte heuristique collaborative produite par un groupe d'élèves (anonymisée).</w:t>
      </w:r>
    </w:p>
    <w:p>
      <w:pPr>
        <w:numPr>
          <w:ilvl w:val="0"/>
          <w:numId w:val="152"/>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Annexe 4 : Tableau personnel de suivi des niveaux SAMR par séquence enseignée.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99">
    <w:abstractNumId w:val="24"/>
  </w:num>
  <w:num w:numId="127">
    <w:abstractNumId w:val="18"/>
  </w:num>
  <w:num w:numId="148">
    <w:abstractNumId w:val="12"/>
  </w:num>
  <w:num w:numId="150">
    <w:abstractNumId w:val="6"/>
  </w:num>
  <w:num w:numId="15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