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C3644">
      <w:pPr>
        <w:spacing w:before="480" w:after="12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智能计算系统</w:t>
      </w:r>
      <w:r>
        <w:rPr>
          <w:rFonts w:ascii="黑体" w:hAnsi="黑体" w:eastAsia="黑体" w:cs="黑体"/>
          <w:b/>
          <w:bCs/>
          <w:sz w:val="44"/>
          <w:szCs w:val="44"/>
        </w:rPr>
        <w:t>MNIST手写数字识别实验报告</w:t>
      </w:r>
    </w:p>
    <w:p w14:paraId="11995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0" w:line="240" w:lineRule="auto"/>
        <w:jc w:val="center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color w:val="555555"/>
          <w:sz w:val="24"/>
          <w:szCs w:val="24"/>
        </w:rPr>
        <w:t>基于多层感知机的神经网络分类实验</w:t>
      </w:r>
      <w:r>
        <w:rPr>
          <w:rFonts w:hint="eastAsia" w:cs="宋体"/>
          <w:color w:val="555555"/>
          <w:sz w:val="24"/>
          <w:szCs w:val="24"/>
          <w:lang w:val="en-US" w:eastAsia="zh-CN"/>
        </w:rPr>
        <w:t xml:space="preserve"> 10225101436 王晓露</w:t>
      </w:r>
    </w:p>
    <w:p w14:paraId="456F44FD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一、实验概述</w:t>
      </w:r>
    </w:p>
    <w:p w14:paraId="1D786417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实验的目的是掌握神经网络的设计原理，熟练掌握神经网络的训练和推断方法，并通过编程实现一个可对MNIST手写数字数据集进行分类的神经网络模型。实验内容涵盖数据集获取与预处理、神经网络模型设计与搭建、模型训练与超参数调整，以及最终的准确率评估与结果可视化。</w:t>
      </w:r>
    </w:p>
    <w:p w14:paraId="6F038F18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MNIST数据集是机器学习领域最经典的基准数据集之一，包含70,000张手写数字灰度图像（60,000张训练、10,000张测试），每张图像分辨率为28×28像素，对应数字类别0至9共10个类别。</w:t>
      </w:r>
    </w:p>
    <w:p w14:paraId="5FF3BA92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二、数据集说明</w:t>
      </w:r>
    </w:p>
    <w:p w14:paraId="424652DD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2.1 数据集基本信息</w:t>
      </w:r>
    </w:p>
    <w:tbl>
      <w:tblPr>
        <w:tblStyle w:val="11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126"/>
        <w:gridCol w:w="2126"/>
        <w:gridCol w:w="2126"/>
      </w:tblGrid>
      <w:tr w14:paraId="34178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673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属性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F28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训练集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8A5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测试集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43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合计</w:t>
            </w:r>
          </w:p>
        </w:tc>
      </w:tr>
      <w:tr w14:paraId="7C38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271E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样本数量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A0A5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60,000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7D2E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10,000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D3F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70,000</w:t>
            </w:r>
          </w:p>
        </w:tc>
      </w:tr>
      <w:tr w14:paraId="61CF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C4F5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图像尺寸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DAE9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28 × 28 像素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B330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28 × 28 像素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8865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—</w:t>
            </w:r>
          </w:p>
        </w:tc>
      </w:tr>
      <w:tr w14:paraId="2031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114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图像类型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BD18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灰度图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FDB4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灰度图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279A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—</w:t>
            </w:r>
          </w:p>
        </w:tc>
      </w:tr>
      <w:tr w14:paraId="5419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65A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类别数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8769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10（0–9）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7997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10（0–9）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0D7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10</w:t>
            </w:r>
          </w:p>
        </w:tc>
      </w:tr>
      <w:tr w14:paraId="4F94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65E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输入维度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44E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784（展平后）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8321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784（展平后）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C666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—</w:t>
            </w:r>
          </w:p>
        </w:tc>
      </w:tr>
    </w:tbl>
    <w:p w14:paraId="3A874B6D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2.2 数据预处理</w:t>
      </w:r>
    </w:p>
    <w:p w14:paraId="4EBC977D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在将图像送入网络之前，进行以下预处理操作：</w:t>
      </w:r>
    </w:p>
    <w:p w14:paraId="52A7E2FE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张量转换：将PIL图像转换为PyTorch张量，像素值由[0, 255]缩放至[0.0, 1.0]；</w:t>
      </w:r>
    </w:p>
    <w:p w14:paraId="75CFB666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标准化归一化：使用MNIST数据集的统计均值（μ = 0.1307）和标准差（σ = 0.3081）对像素值进行归一化，将数据分布调整至均值为0、标准差为1附近，有效加速收敛并提升训练稳定性。</w:t>
      </w:r>
    </w:p>
    <w:p w14:paraId="2467F28F">
      <w:pPr>
        <w:pStyle w:val="16"/>
        <w:numPr>
          <w:ilvl w:val="0"/>
          <w:numId w:val="1"/>
        </w:numPr>
        <w:spacing w:before="40" w:after="60" w:line="360" w:lineRule="auto"/>
      </w:pPr>
      <w:r>
        <w:rPr>
          <w:rFonts w:ascii="宋体" w:hAnsi="宋体" w:eastAsia="宋体" w:cs="宋体"/>
          <w:sz w:val="24"/>
          <w:szCs w:val="24"/>
        </w:rPr>
        <w:t>展平操作：将28×28的二维图像矩阵展平为长度为784的一维向量，作为全连接网络的输入。</w:t>
      </w:r>
    </w:p>
    <w:p w14:paraId="3DB3DE31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三、神经网络模型详情</w:t>
      </w:r>
    </w:p>
    <w:p w14:paraId="751DE118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3.1 模型结构</w:t>
      </w:r>
    </w:p>
    <w:p w14:paraId="0D9BA72F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本实验采用多层感知机（Multi-Layer Perceptron，MLP）作为分类模型，网络由输入层、两个全连接隐藏层及输出层构成，整体结构如下：</w:t>
      </w:r>
    </w:p>
    <w:tbl>
      <w:tblPr>
        <w:tblStyle w:val="11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7"/>
        <w:gridCol w:w="2700"/>
        <w:gridCol w:w="1820"/>
        <w:gridCol w:w="1323"/>
        <w:gridCol w:w="1404"/>
      </w:tblGrid>
      <w:tr w14:paraId="53DB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D50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层级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F0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257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输入维度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312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输出维度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E8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参数量</w:t>
            </w:r>
          </w:p>
        </w:tc>
      </w:tr>
      <w:tr w14:paraId="5FFD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DB7F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Layer 0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EF92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Flatten（展平）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80CA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 × 28 × 28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9292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784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5ECE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</w:tr>
      <w:tr w14:paraId="1DDBD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06F2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Layer 1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338F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Linear + BatchNorm + ReLU + Dropout(0.2)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466A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784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C173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256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A163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201,472</w:t>
            </w:r>
          </w:p>
        </w:tc>
      </w:tr>
      <w:tr w14:paraId="280A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3827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Layer 2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D854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Linear + BatchNorm + ReLU + Dropout(0.2)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253E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256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F72A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128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FCE5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33,408</w:t>
            </w:r>
          </w:p>
        </w:tc>
      </w:tr>
      <w:tr w14:paraId="21C1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05FC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Layer 3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8522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Linear（输出层）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400E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128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E3AC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344E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1,290</w:t>
            </w:r>
          </w:p>
        </w:tc>
      </w:tr>
      <w:tr w14:paraId="6505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7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B86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合计</w:t>
            </w:r>
          </w:p>
        </w:tc>
        <w:tc>
          <w:tcPr>
            <w:tcW w:w="2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6781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—</w:t>
            </w:r>
          </w:p>
        </w:tc>
        <w:tc>
          <w:tcPr>
            <w:tcW w:w="1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AB4F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784</w:t>
            </w:r>
          </w:p>
        </w:tc>
        <w:tc>
          <w:tcPr>
            <w:tcW w:w="132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4871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404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41D9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235,914</w:t>
            </w:r>
          </w:p>
        </w:tc>
      </w:tr>
    </w:tbl>
    <w:p w14:paraId="6FC9E0D5">
      <w:pPr>
        <w:spacing w:before="80" w:after="80"/>
      </w:pPr>
    </w:p>
    <w:p w14:paraId="173DF65E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完整网络结构可表示为：784 → 256 → 128 → 10，总可训练参数量为 235,914 个。输出层不包含Softmax激活函数，原因是PyTorch的CrossEntropyLoss损失函数内部已集成log-softmax操作，无需重复添加。</w:t>
      </w:r>
    </w:p>
    <w:p w14:paraId="0EAF5259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3.2 损失函数与优化器</w:t>
      </w:r>
    </w:p>
    <w:p w14:paraId="0713AAB9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训练采用交叉熵损失函数（Cross-Entropy Loss），该函数适用于多分类任务，能有效衡量模型预测概率分布与真实标签分布之间的差异。</w:t>
      </w:r>
    </w:p>
    <w:p w14:paraId="219CE07C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优化器选用Adam（Adaptive Moment Estimation），初始学习率设为0.001。Adam结合了动量法与自适应学习率的优点，在各类深度学习任务中表现稳健，收敛速度快于传统SGD。</w:t>
      </w:r>
    </w:p>
    <w:p w14:paraId="5A79B2A2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此外，配合学习率调度策略（StepLR）：每3个训练轮次将学习率乘以衰减因子0.5，使模型在训练后期以更小步长精细调整权重，避免在最优解附近震荡。</w:t>
      </w:r>
    </w:p>
    <w:p w14:paraId="0CAC3BFD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四、模型亮点</w:t>
      </w:r>
    </w:p>
    <w:p w14:paraId="10F0DEAA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4.1 批归一化（Batch Normalization）</w:t>
      </w:r>
    </w:p>
    <w:p w14:paraId="44E18307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在每个隐藏层的线性变换之后、激活函数之前加入批归一化层（BatchNorm1d）。批归一化通过对每个mini-batch的激活值进行标准化，将其均值调整为接近0、方差调整为接近1，从而缓解内部协变量偏移（Internal Covariate Shift）问题。其主要优势包括：显著加快训练收敛速度、允许使用更大的学习率、减少对权重初始化的敏感性，以及一定程度上的正则化效果。</w:t>
      </w:r>
    </w:p>
    <w:p w14:paraId="23D37E07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4.2 Dropout正则化</w:t>
      </w:r>
    </w:p>
    <w:p w14:paraId="1D449541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每个BatchNorm+ReLU组合之后添加Dropout层，丢弃率设为0.2，即每次前向传播随机将20%的神经元输出置零。Dropout是一种高效的正则化手段，能有效防止模型对训练数据的过拟合，提升模型在测试集上的泛化能力。本实验中，训练准确率（99.02%）与测试准确率（98.46%）之间的差距极小，印证了Dropout的有效性。</w:t>
      </w:r>
    </w:p>
    <w:p w14:paraId="5F32EBF1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4.3 学习率衰减策略</w:t>
      </w:r>
    </w:p>
    <w:p w14:paraId="5D513B60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采用StepLR学习率调度策略，每3个epoch将当前学习率减半。在训练初期使用较大学习率（0.001）使模型快速接近最优解区域，随后通过逐步缩小步长避免越过最优点，从而在有限的训练轮次内达到更高精度。从实验结果可以看到，第4个epoch后（学习率首次衰减）测试准确率由97.92%大幅提升至98.32%。</w:t>
      </w:r>
    </w:p>
    <w:p w14:paraId="24C6676A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4.4 Mini-Batch训练</w:t>
      </w:r>
    </w:p>
    <w:p w14:paraId="359458F8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训练过程采用批量大小（Batch Size）为64的mini-batch梯度下降策略，在单次参数更新所需计算量与梯度估计的准确性之间取得平衡。相比纯随机梯度下降（Batch Size = 1），mini-batch训练具有更稳定的收敛过程和更高的硬件利用率；相比全批量梯度下降，其引入的随机噪声还具有一定的正则化效果。</w:t>
      </w:r>
    </w:p>
    <w:p w14:paraId="15B0B976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五、训练过程与结果</w:t>
      </w:r>
    </w:p>
    <w:p w14:paraId="6F471510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5.1 训练超参数</w:t>
      </w:r>
    </w:p>
    <w:tbl>
      <w:tblPr>
        <w:tblStyle w:val="11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2"/>
        <w:gridCol w:w="4252"/>
      </w:tblGrid>
      <w:tr w14:paraId="1558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45F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超参数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1E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设定值</w:t>
            </w:r>
          </w:p>
        </w:tc>
      </w:tr>
      <w:tr w14:paraId="5136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2896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训练轮次（Epochs）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A50B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10</w:t>
            </w:r>
          </w:p>
        </w:tc>
      </w:tr>
      <w:tr w14:paraId="6E10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0446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批量大小（Batch Size）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909F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64</w:t>
            </w:r>
          </w:p>
        </w:tc>
      </w:tr>
      <w:tr w14:paraId="7C81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2ED5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初始学习率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62F4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0.001</w:t>
            </w:r>
          </w:p>
        </w:tc>
      </w:tr>
      <w:tr w14:paraId="7D65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5384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学习率衰减策略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416F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StepLR（step=3, gamma=0.5）</w:t>
            </w:r>
          </w:p>
        </w:tc>
      </w:tr>
      <w:tr w14:paraId="152F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5702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优化器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A74C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Adam</w:t>
            </w:r>
          </w:p>
        </w:tc>
      </w:tr>
      <w:tr w14:paraId="19AC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0784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损失函数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236E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CrossEntropyLoss</w:t>
            </w:r>
          </w:p>
        </w:tc>
      </w:tr>
      <w:tr w14:paraId="3F1A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2743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训练设备</w:t>
            </w:r>
          </w:p>
        </w:tc>
        <w:tc>
          <w:tcPr>
            <w:tcW w:w="4252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00E8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CPU</w:t>
            </w:r>
          </w:p>
        </w:tc>
      </w:tr>
    </w:tbl>
    <w:p w14:paraId="7D5C95F5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5.2 各Epoch训练结果</w:t>
      </w:r>
    </w:p>
    <w:tbl>
      <w:tblPr>
        <w:tblStyle w:val="11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126"/>
        <w:gridCol w:w="2126"/>
        <w:gridCol w:w="2126"/>
      </w:tblGrid>
      <w:tr w14:paraId="1DD9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FF3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ABF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训练损失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C40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训练准确率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FF3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测试准确率</w:t>
            </w:r>
          </w:p>
        </w:tc>
      </w:tr>
      <w:tr w14:paraId="1D6C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149A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6225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0.2608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7731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92.72%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5FDC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97.06%</w:t>
            </w:r>
          </w:p>
        </w:tc>
      </w:tr>
      <w:tr w14:paraId="184A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4B90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DE3E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0.1272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868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96.03%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8B8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97.65%</w:t>
            </w:r>
          </w:p>
        </w:tc>
      </w:tr>
      <w:tr w14:paraId="2C07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5EFE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1A31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0.0983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3BC1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96.95%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5C0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97.92%</w:t>
            </w:r>
          </w:p>
        </w:tc>
      </w:tr>
      <w:tr w14:paraId="3CB0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079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23B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0.0669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8B10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97.93%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08A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98.32%</w:t>
            </w:r>
          </w:p>
        </w:tc>
      </w:tr>
      <w:tr w14:paraId="5195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257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72D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0.0580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8C50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98.14%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4436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98.14%</w:t>
            </w:r>
          </w:p>
        </w:tc>
      </w:tr>
      <w:tr w14:paraId="34EA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7838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841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0.0560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BF91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98.21%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E47C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98.20%</w:t>
            </w:r>
          </w:p>
        </w:tc>
      </w:tr>
      <w:tr w14:paraId="17AB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48C9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EE12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0.0432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5B36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98.64%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C35A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98.43%</w:t>
            </w:r>
          </w:p>
        </w:tc>
      </w:tr>
      <w:tr w14:paraId="4747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475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7A7E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0.0375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4326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98.79%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D96F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98.41%</w:t>
            </w:r>
          </w:p>
        </w:tc>
      </w:tr>
      <w:tr w14:paraId="517C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3A83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5B4D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0.0354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7D33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98.81%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A1C2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98.26%</w:t>
            </w:r>
          </w:p>
        </w:tc>
      </w:tr>
      <w:tr w14:paraId="6FCB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EF0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10（最终）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37E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0.0302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313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99.02%</w:t>
            </w:r>
          </w:p>
        </w:tc>
        <w:tc>
          <w:tcPr>
            <w:tcW w:w="2126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A56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98.46%</w:t>
            </w:r>
          </w:p>
        </w:tc>
      </w:tr>
    </w:tbl>
    <w:p w14:paraId="4752B361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5.3 最终准确率</w:t>
      </w:r>
    </w:p>
    <w:p w14:paraId="1A8D82AE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经过10个epoch的训练，模型在MNIST测试集（10,000张图像）上最终达到 </w:t>
      </w:r>
      <w:r>
        <w:rPr>
          <w:rFonts w:ascii="宋体" w:hAnsi="宋体" w:eastAsia="宋体" w:cs="宋体"/>
          <w:b/>
          <w:bCs/>
          <w:sz w:val="24"/>
          <w:szCs w:val="24"/>
        </w:rPr>
        <w:t>98.46%</w:t>
      </w:r>
      <w:r>
        <w:rPr>
          <w:rFonts w:ascii="宋体" w:hAnsi="宋体" w:eastAsia="宋体" w:cs="宋体"/>
          <w:sz w:val="24"/>
          <w:szCs w:val="24"/>
        </w:rPr>
        <w:t xml:space="preserve"> 的分类准确率，远超实验要求的95%目标。训练集准确率为99.02%，测试集与训练集准确率差距仅为0.56个百分点，说明模型未出现明显过拟合，泛化能力良好。</w:t>
      </w:r>
    </w:p>
    <w:p w14:paraId="2F2A4631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六、效果展示</w:t>
      </w:r>
    </w:p>
    <w:p w14:paraId="23B38F20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6.1 训练曲线</w:t>
      </w:r>
    </w:p>
    <w:p w14:paraId="744D011E">
      <w:pPr>
        <w:spacing w:before="60" w:after="60" w:line="360" w:lineRule="auto"/>
        <w:ind w:firstLine="480"/>
        <w:rPr>
          <w:rFonts w:ascii="宋体" w:hAnsi="宋体" w:eastAsia="宋体" w:cs="宋体"/>
          <w:i/>
          <w:iCs/>
          <w:color w:val="888888"/>
          <w:sz w:val="22"/>
          <w:szCs w:val="22"/>
        </w:rPr>
      </w:pPr>
      <w:r>
        <w:rPr>
          <w:rFonts w:ascii="宋体" w:hAnsi="宋体" w:eastAsia="宋体" w:cs="宋体"/>
          <w:sz w:val="24"/>
          <w:szCs w:val="24"/>
        </w:rPr>
        <w:t>下图展示了训练过程中损失值与准确率随Epoch变化的曲线。训练损失持续下降，训练准确率和测试准确率同步提升，且两条准确率曲线高度吻合，无明显过拟合迹象。</w:t>
      </w:r>
    </w:p>
    <w:p w14:paraId="42FEE54D">
      <w:pPr>
        <w:spacing w:before="160" w:after="80"/>
        <w:jc w:val="center"/>
        <w:rPr>
          <w:rFonts w:ascii="宋体" w:hAnsi="宋体" w:eastAsia="宋体" w:cs="宋体"/>
          <w:i/>
          <w:iCs/>
          <w:color w:val="888888"/>
          <w:sz w:val="22"/>
          <w:szCs w:val="22"/>
        </w:rPr>
      </w:pPr>
      <w:r>
        <w:drawing>
          <wp:inline distT="0" distB="0" distL="114300" distR="114300">
            <wp:extent cx="5383530" cy="1794510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D491">
      <w:pPr>
        <w:pStyle w:val="3"/>
        <w:spacing w:before="200" w:after="80"/>
      </w:pPr>
      <w:r>
        <w:rPr>
          <w:rFonts w:ascii="黑体" w:hAnsi="黑体" w:eastAsia="黑体" w:cs="黑体"/>
          <w:b/>
          <w:bCs/>
          <w:sz w:val="28"/>
          <w:szCs w:val="28"/>
        </w:rPr>
        <w:t>6.2 可视化识别界面</w:t>
      </w:r>
    </w:p>
    <w:p w14:paraId="6ECAF27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本实验基于Flask框架实现了一个本地Web可视化识别界面（app.py），用户可在浏览器中通过鼠标在黑色画布上手写单个数字，点击「识别」按钮后，界面将实时显示：</w:t>
      </w:r>
    </w:p>
    <w:p w14:paraId="0B22F6AE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模型实际接收的28×28灰度缩略图</w:t>
      </w:r>
    </w:p>
    <w:p w14:paraId="10F11FBC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预测数字结果（大字显示）</w:t>
      </w:r>
    </w:p>
    <w:p w14:paraId="530E361C">
      <w:pPr>
        <w:pStyle w:val="16"/>
        <w:numPr>
          <w:ilvl w:val="0"/>
          <w:numId w:val="1"/>
        </w:numPr>
        <w:spacing w:before="40" w:after="60" w:line="360" w:lineRule="auto"/>
      </w:pPr>
      <w:r>
        <w:rPr>
          <w:rFonts w:ascii="宋体" w:hAnsi="宋体" w:eastAsia="宋体" w:cs="宋体"/>
          <w:sz w:val="24"/>
          <w:szCs w:val="24"/>
        </w:rPr>
        <w:t>各数字类别（0–9）的预测概率柱状图及置信度百分比</w:t>
      </w:r>
    </w:p>
    <w:p w14:paraId="3CF62CDA">
      <w:pPr>
        <w:spacing w:before="160" w:after="80"/>
        <w:jc w:val="center"/>
      </w:pPr>
      <w:r>
        <w:drawing>
          <wp:inline distT="0" distB="0" distL="114300" distR="114300">
            <wp:extent cx="4536440" cy="266382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5330" cy="266382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F4D8">
      <w:pPr>
        <w:pStyle w:val="2"/>
        <w:spacing w:before="240" w:after="12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七、实验总结</w:t>
      </w:r>
    </w:p>
    <w:p w14:paraId="27A61F28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 xml:space="preserve">本实验成功设计并实现了一个基于多层感知机的MNIST手写数字识别系统。通过合理的网络结构设计（784→256→128→10），结合批归一化、Dropout正则化及Adam优化器等技术手段，模型在仅使用CPU、训练10个epoch的条件下，在MNIST标准测试集上达到了 </w:t>
      </w:r>
      <w:r>
        <w:rPr>
          <w:rFonts w:ascii="宋体" w:hAnsi="宋体" w:eastAsia="宋体" w:cs="宋体"/>
          <w:b/>
          <w:bCs/>
          <w:sz w:val="24"/>
          <w:szCs w:val="24"/>
        </w:rPr>
        <w:t>98.46%</w:t>
      </w:r>
      <w:r>
        <w:rPr>
          <w:rFonts w:ascii="宋体" w:hAnsi="宋体" w:eastAsia="宋体" w:cs="宋体"/>
          <w:sz w:val="24"/>
          <w:szCs w:val="24"/>
        </w:rPr>
        <w:t xml:space="preserve"> 的分类准确率，超越实验既定目标（≥95%）。</w:t>
      </w:r>
    </w:p>
    <w:p w14:paraId="54D0CA49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实验验证了以下核心结论：（1）即使不使用卷积神经网络，结构合理的MLP对MNIST此类简单图像分类任务已能取得优秀效果；（2）BatchNorm与Dropout的组合使用能有效提升训练稳定性并抑制过拟合；（3）学习率衰减策略对模型后期精度提升具有明显正向作用。</w:t>
      </w:r>
    </w:p>
    <w:p w14:paraId="1EF6C0FF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在实际推断测试中，对于书写工整、与MNIST训练数据风格一致的手写数字，模型能以极高置信度（&gt;95%）给出正确预测，充分展现了该神经网络的实用价值。</w:t>
      </w:r>
      <w:bookmarkStart w:id="0" w:name="_GoBack"/>
      <w:bookmarkEnd w:id="0"/>
    </w:p>
    <w:p w14:paraId="08E82F50">
      <w:pPr>
        <w:spacing w:before="240"/>
      </w:pPr>
    </w:p>
    <w:sectPr>
      <w:headerReference r:id="rId3" w:type="default"/>
      <w:footerReference r:id="rId4" w:type="default"/>
      <w:pgSz w:w="11906" w:h="16838"/>
      <w:pgMar w:top="1701" w:right="1701" w:bottom="1701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3A975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 xml:space="preserve">第 </w:t>
    </w:r>
    <w:r>
      <w:rPr>
        <w:rFonts w:ascii="宋体" w:hAnsi="宋体" w:eastAsia="宋体" w:cs="宋体"/>
        <w:color w:val="888888"/>
        <w:sz w:val="18"/>
        <w:szCs w:val="18"/>
      </w:rPr>
      <w:fldChar w:fldCharType="begin"/>
    </w:r>
    <w:r>
      <w:rPr>
        <w:rFonts w:ascii="宋体" w:hAnsi="宋体" w:eastAsia="宋体" w:cs="宋体"/>
        <w:color w:val="888888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888888"/>
        <w:sz w:val="18"/>
        <w:szCs w:val="18"/>
      </w:rPr>
      <w:fldChar w:fldCharType="separate"/>
    </w:r>
    <w:r>
      <w:rPr>
        <w:rFonts w:ascii="宋体" w:hAnsi="宋体" w:eastAsia="宋体" w:cs="宋体"/>
        <w:color w:val="888888"/>
        <w:sz w:val="18"/>
        <w:szCs w:val="18"/>
      </w:rPr>
      <w:fldChar w:fldCharType="end"/>
    </w:r>
    <w:r>
      <w:rPr>
        <w:rFonts w:ascii="宋体" w:hAnsi="宋体" w:eastAsia="宋体" w:cs="宋体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D0AD5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智能计算系统MNIST实验报告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WQ0ZTZmZWNmODQwNTBjZmM1YTRmMGYwYTVkMmQ5ZDAifQ=="/>
  </w:docVars>
  <w:rsids>
    <w:rsidRoot w:val="00000000"/>
    <w:rsid w:val="739045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2236</Words>
  <Characters>3120</Characters>
  <TotalTime>21</TotalTime>
  <ScaleCrop>false</ScaleCrop>
  <LinksUpToDate>false</LinksUpToDate>
  <CharactersWithSpaces>3192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2026-05-30T10:51:00Z</dcterms:created>
  <dc:creator>Un-named</dc:creator>
  <cp:lastModifiedBy>泡泡胖胖PoP</cp:lastModifiedBy>
  <dcterms:modified xsi:type="dcterms:W3CDTF">2026-05-30T11:14:30Z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B112039868A04398BDEC5962FA2B0F83_12</vt:lpwstr>
  </property>
</Properties>
</file>