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E641E" w14:textId="76CFAD15" w:rsidR="00713635" w:rsidRPr="005D512D" w:rsidRDefault="00713635" w:rsidP="00713635">
      <w:pPr>
        <w:ind w:left="720"/>
        <w:rPr>
          <w:b/>
          <w:bCs/>
          <w:sz w:val="32"/>
          <w:szCs w:val="32"/>
        </w:rPr>
      </w:pPr>
      <w:r w:rsidRPr="005D512D">
        <w:rPr>
          <w:b/>
          <w:bCs/>
          <w:sz w:val="32"/>
          <w:szCs w:val="32"/>
        </w:rPr>
        <w:t>Project Background</w:t>
      </w:r>
    </w:p>
    <w:p w14:paraId="5652F0EA" w14:textId="5CE53137" w:rsidR="00713635" w:rsidRPr="00264A50" w:rsidRDefault="00713635" w:rsidP="00713635">
      <w:pPr>
        <w:ind w:left="720"/>
        <w:rPr>
          <w:sz w:val="28"/>
          <w:szCs w:val="28"/>
        </w:rPr>
      </w:pPr>
      <w:r w:rsidRPr="00264A50">
        <w:rPr>
          <w:sz w:val="28"/>
          <w:szCs w:val="28"/>
        </w:rPr>
        <w:t>This report presents the</w:t>
      </w:r>
      <w:r w:rsidRPr="00264A50">
        <w:rPr>
          <w:sz w:val="28"/>
          <w:szCs w:val="28"/>
        </w:rPr>
        <w:t xml:space="preserve"> </w:t>
      </w:r>
      <w:r w:rsidRPr="00264A50">
        <w:rPr>
          <w:b/>
          <w:bCs/>
          <w:sz w:val="28"/>
          <w:szCs w:val="28"/>
        </w:rPr>
        <w:t>Gross Profit P</w:t>
      </w:r>
      <w:r w:rsidRPr="00264A50">
        <w:rPr>
          <w:b/>
          <w:bCs/>
          <w:sz w:val="28"/>
          <w:szCs w:val="28"/>
        </w:rPr>
        <w:t>erformance</w:t>
      </w:r>
      <w:r w:rsidRPr="00264A50">
        <w:rPr>
          <w:sz w:val="28"/>
          <w:szCs w:val="28"/>
        </w:rPr>
        <w:t xml:space="preserve"> of Plant Co. across 2023 and 2024 with a focus on Gross Profit, Quantity, and Sales for three product types: Indoor, Landscape, and Outdoor.</w:t>
      </w:r>
      <w:r w:rsidRPr="00264A50">
        <w:rPr>
          <w:sz w:val="28"/>
          <w:szCs w:val="28"/>
        </w:rPr>
        <w:t xml:space="preserve"> </w:t>
      </w:r>
      <w:r w:rsidRPr="00264A50">
        <w:rPr>
          <w:sz w:val="28"/>
          <w:szCs w:val="28"/>
        </w:rPr>
        <w:t xml:space="preserve">The goal is to provide insights into user </w:t>
      </w:r>
      <w:proofErr w:type="spellStart"/>
      <w:r w:rsidRPr="00264A50">
        <w:rPr>
          <w:sz w:val="28"/>
          <w:szCs w:val="28"/>
        </w:rPr>
        <w:t>behavior</w:t>
      </w:r>
      <w:proofErr w:type="spellEnd"/>
      <w:r w:rsidRPr="00264A50">
        <w:rPr>
          <w:sz w:val="28"/>
          <w:szCs w:val="28"/>
        </w:rPr>
        <w:t xml:space="preserve">, highlight important trends, and make data-driven recommendations that can </w:t>
      </w:r>
      <w:r w:rsidRPr="00264A50">
        <w:rPr>
          <w:sz w:val="28"/>
          <w:szCs w:val="28"/>
        </w:rPr>
        <w:t>help to make decision.</w:t>
      </w:r>
    </w:p>
    <w:p w14:paraId="7C753A6F" w14:textId="30F49454" w:rsidR="00713635" w:rsidRPr="00264A50" w:rsidRDefault="00713635" w:rsidP="00713635">
      <w:pPr>
        <w:ind w:left="720"/>
        <w:rPr>
          <w:sz w:val="28"/>
          <w:szCs w:val="28"/>
        </w:rPr>
      </w:pPr>
      <w:r w:rsidRPr="00264A50">
        <w:rPr>
          <w:sz w:val="28"/>
          <w:szCs w:val="28"/>
        </w:rPr>
        <w:t xml:space="preserve">Therefore, understanding the </w:t>
      </w:r>
      <w:r w:rsidRPr="00264A50">
        <w:rPr>
          <w:sz w:val="28"/>
          <w:szCs w:val="28"/>
        </w:rPr>
        <w:t>market</w:t>
      </w:r>
      <w:r w:rsidRPr="00264A50">
        <w:rPr>
          <w:sz w:val="28"/>
          <w:szCs w:val="28"/>
        </w:rPr>
        <w:t xml:space="preserve"> patterns can help improve </w:t>
      </w:r>
      <w:r w:rsidRPr="00264A50">
        <w:rPr>
          <w:sz w:val="28"/>
          <w:szCs w:val="28"/>
        </w:rPr>
        <w:t xml:space="preserve">product wise sales </w:t>
      </w:r>
      <w:r w:rsidRPr="00264A50">
        <w:rPr>
          <w:sz w:val="28"/>
          <w:szCs w:val="28"/>
        </w:rPr>
        <w:t xml:space="preserve">and </w:t>
      </w:r>
      <w:r w:rsidR="00A01831" w:rsidRPr="00264A50">
        <w:rPr>
          <w:sz w:val="28"/>
          <w:szCs w:val="28"/>
        </w:rPr>
        <w:t xml:space="preserve">making effective decision which help </w:t>
      </w:r>
      <w:r w:rsidRPr="00264A50">
        <w:rPr>
          <w:sz w:val="28"/>
          <w:szCs w:val="28"/>
        </w:rPr>
        <w:t>especially during critical events like natural disasters.</w:t>
      </w:r>
    </w:p>
    <w:p w14:paraId="70B8FB6F" w14:textId="77777777" w:rsidR="00A01831" w:rsidRPr="00264A50" w:rsidRDefault="00A01831" w:rsidP="00A01831">
      <w:pPr>
        <w:ind w:left="720"/>
        <w:rPr>
          <w:sz w:val="28"/>
          <w:szCs w:val="28"/>
        </w:rPr>
      </w:pPr>
      <w:r w:rsidRPr="00264A50">
        <w:rPr>
          <w:b/>
          <w:bCs/>
          <w:sz w:val="28"/>
          <w:szCs w:val="28"/>
        </w:rPr>
        <w:t xml:space="preserve">    . </w:t>
      </w:r>
      <w:r w:rsidRPr="00264A50">
        <w:rPr>
          <w:b/>
          <w:bCs/>
          <w:sz w:val="28"/>
          <w:szCs w:val="28"/>
        </w:rPr>
        <w:t>Bottom 10YTD vs PYTD | Country</w:t>
      </w:r>
      <w:r w:rsidRPr="00264A50">
        <w:rPr>
          <w:sz w:val="28"/>
          <w:szCs w:val="28"/>
        </w:rPr>
        <w:t xml:space="preserve"> = This is referring to an analysis of the 10 lowest-performing entities within a country, comparing their performance this year versus the same period last year.</w:t>
      </w:r>
    </w:p>
    <w:p w14:paraId="156E8B7F" w14:textId="2CCA235C" w:rsidR="005D512D" w:rsidRPr="00264A50" w:rsidRDefault="00A01831" w:rsidP="005D512D">
      <w:pPr>
        <w:ind w:left="720"/>
        <w:rPr>
          <w:sz w:val="28"/>
          <w:szCs w:val="28"/>
        </w:rPr>
      </w:pPr>
      <w:r w:rsidRPr="00264A50">
        <w:rPr>
          <w:sz w:val="28"/>
          <w:szCs w:val="28"/>
        </w:rPr>
        <w:t xml:space="preserve">   </w:t>
      </w:r>
      <w:r w:rsidRPr="00264A50">
        <w:rPr>
          <w:b/>
          <w:bCs/>
          <w:sz w:val="28"/>
          <w:szCs w:val="28"/>
        </w:rPr>
        <w:t xml:space="preserve">. Gross Profit YTD </w:t>
      </w:r>
      <w:r w:rsidR="005D512D" w:rsidRPr="00264A50">
        <w:rPr>
          <w:b/>
          <w:bCs/>
          <w:sz w:val="28"/>
          <w:szCs w:val="28"/>
        </w:rPr>
        <w:t>vs</w:t>
      </w:r>
      <w:r w:rsidRPr="00264A50">
        <w:rPr>
          <w:b/>
          <w:bCs/>
          <w:sz w:val="28"/>
          <w:szCs w:val="28"/>
        </w:rPr>
        <w:t xml:space="preserve"> PYTD = </w:t>
      </w:r>
      <w:r w:rsidR="005D512D" w:rsidRPr="00264A50">
        <w:rPr>
          <w:sz w:val="28"/>
          <w:szCs w:val="28"/>
        </w:rPr>
        <w:t>I</w:t>
      </w:r>
      <w:r w:rsidR="005D512D" w:rsidRPr="00264A50">
        <w:rPr>
          <w:sz w:val="28"/>
          <w:szCs w:val="28"/>
        </w:rPr>
        <w:t>s an analysis comparing how much profit has been generated in the current year versus the same period last year, helping businesses track financial growth, profitability trends, and performance fluctuations.</w:t>
      </w:r>
    </w:p>
    <w:p w14:paraId="021C7DC3" w14:textId="6F44F014" w:rsidR="005D512D" w:rsidRPr="00264A50" w:rsidRDefault="005D512D" w:rsidP="005D512D">
      <w:pPr>
        <w:ind w:left="720"/>
        <w:rPr>
          <w:sz w:val="28"/>
          <w:szCs w:val="28"/>
        </w:rPr>
      </w:pPr>
      <w:r w:rsidRPr="00264A50">
        <w:rPr>
          <w:b/>
          <w:bCs/>
          <w:sz w:val="28"/>
          <w:szCs w:val="28"/>
        </w:rPr>
        <w:t xml:space="preserve">  . Account Profitability Segmentation | GP% and GP = </w:t>
      </w:r>
      <w:r w:rsidRPr="00264A50">
        <w:rPr>
          <w:sz w:val="28"/>
          <w:szCs w:val="28"/>
        </w:rPr>
        <w:t>T</w:t>
      </w:r>
      <w:r w:rsidRPr="00264A50">
        <w:rPr>
          <w:sz w:val="28"/>
          <w:szCs w:val="28"/>
        </w:rPr>
        <w:t>his analysis helps businesses identify high-margin and low-margin accounts, optimize resource allocation, and make strategic financial decisions.</w:t>
      </w:r>
    </w:p>
    <w:p w14:paraId="04500321" w14:textId="252B3FCD" w:rsidR="00713635" w:rsidRPr="005D512D" w:rsidRDefault="00713635" w:rsidP="00713635">
      <w:pPr>
        <w:ind w:left="720"/>
        <w:rPr>
          <w:b/>
          <w:bCs/>
          <w:sz w:val="32"/>
          <w:szCs w:val="32"/>
        </w:rPr>
      </w:pPr>
    </w:p>
    <w:p w14:paraId="65215311" w14:textId="77777777" w:rsidR="007E7D16" w:rsidRPr="00705C40" w:rsidRDefault="007E7D16" w:rsidP="007E7D16">
      <w:pPr>
        <w:rPr>
          <w:b/>
          <w:bCs/>
          <w:sz w:val="32"/>
          <w:szCs w:val="32"/>
        </w:rPr>
      </w:pPr>
      <w:r w:rsidRPr="00705C40">
        <w:rPr>
          <w:b/>
          <w:bCs/>
          <w:sz w:val="32"/>
          <w:szCs w:val="32"/>
        </w:rPr>
        <w:t>Executive Summary</w:t>
      </w:r>
    </w:p>
    <w:p w14:paraId="4A7C8FF0" w14:textId="0488E242" w:rsidR="007E7D16" w:rsidRDefault="007E7D16" w:rsidP="007E7D16">
      <w:pPr>
        <w:rPr>
          <w:sz w:val="28"/>
          <w:szCs w:val="28"/>
        </w:rPr>
      </w:pPr>
      <w:r w:rsidRPr="00705C40">
        <w:rPr>
          <w:sz w:val="28"/>
          <w:szCs w:val="28"/>
        </w:rPr>
        <w:t>The Plant Co. Gross Profit Performance report for 2023 shows a slight decline in overall profitability year-over-year. </w:t>
      </w:r>
      <w:r w:rsidRPr="00705C40">
        <w:rPr>
          <w:b/>
          <w:bCs/>
          <w:sz w:val="28"/>
          <w:szCs w:val="28"/>
        </w:rPr>
        <w:t>Gross profit YTD</w:t>
      </w:r>
      <w:r w:rsidRPr="00705C40">
        <w:rPr>
          <w:sz w:val="28"/>
          <w:szCs w:val="28"/>
        </w:rPr>
        <w:t> is </w:t>
      </w:r>
      <w:r w:rsidRPr="00705C40">
        <w:rPr>
          <w:b/>
          <w:bCs/>
          <w:sz w:val="28"/>
          <w:szCs w:val="28"/>
        </w:rPr>
        <w:t>$5.15M</w:t>
      </w:r>
      <w:r w:rsidRPr="00705C40">
        <w:rPr>
          <w:sz w:val="28"/>
          <w:szCs w:val="28"/>
        </w:rPr>
        <w:t>, compared to </w:t>
      </w:r>
      <w:r w:rsidRPr="00705C40">
        <w:rPr>
          <w:b/>
          <w:bCs/>
          <w:sz w:val="28"/>
          <w:szCs w:val="28"/>
        </w:rPr>
        <w:t>$5.42M</w:t>
      </w:r>
      <w:r w:rsidRPr="00705C40">
        <w:rPr>
          <w:sz w:val="28"/>
          <w:szCs w:val="28"/>
        </w:rPr>
        <w:t> PYTD, a drop of </w:t>
      </w:r>
      <w:r w:rsidRPr="00705C40">
        <w:rPr>
          <w:b/>
          <w:bCs/>
          <w:sz w:val="28"/>
          <w:szCs w:val="28"/>
        </w:rPr>
        <w:t>$0.27M</w:t>
      </w:r>
      <w:r w:rsidRPr="00705C40">
        <w:rPr>
          <w:sz w:val="28"/>
          <w:szCs w:val="28"/>
        </w:rPr>
        <w:t> (≈</w:t>
      </w:r>
      <w:r w:rsidRPr="00705C40">
        <w:rPr>
          <w:rFonts w:ascii="Arial" w:hAnsi="Arial" w:cs="Arial"/>
          <w:sz w:val="28"/>
          <w:szCs w:val="28"/>
        </w:rPr>
        <w:t> </w:t>
      </w:r>
      <w:r w:rsidRPr="00705C40">
        <w:rPr>
          <w:sz w:val="28"/>
          <w:szCs w:val="28"/>
        </w:rPr>
        <w:t>5%). The</w:t>
      </w:r>
      <w:r w:rsidRPr="00705C40">
        <w:rPr>
          <w:rFonts w:ascii="Aptos" w:hAnsi="Aptos" w:cs="Aptos"/>
          <w:sz w:val="28"/>
          <w:szCs w:val="28"/>
        </w:rPr>
        <w:t> </w:t>
      </w:r>
      <w:r w:rsidRPr="00705C40">
        <w:rPr>
          <w:b/>
          <w:bCs/>
          <w:sz w:val="28"/>
          <w:szCs w:val="28"/>
        </w:rPr>
        <w:t>gross profit margin (GP%)</w:t>
      </w:r>
      <w:r w:rsidRPr="00705C40">
        <w:rPr>
          <w:sz w:val="28"/>
          <w:szCs w:val="28"/>
        </w:rPr>
        <w:t> remains strong at </w:t>
      </w:r>
      <w:r w:rsidRPr="00705C40">
        <w:rPr>
          <w:b/>
          <w:bCs/>
          <w:sz w:val="28"/>
          <w:szCs w:val="28"/>
        </w:rPr>
        <w:t>39.6%</w:t>
      </w:r>
      <w:r w:rsidRPr="00705C40">
        <w:rPr>
          <w:sz w:val="28"/>
          <w:szCs w:val="28"/>
        </w:rPr>
        <w:t>. The primary driver of the shortfall is a significant downturn in the Chinese market (–$0.405M), which represents a large share of total profit. By product line, </w:t>
      </w:r>
      <w:r w:rsidRPr="00705C40">
        <w:rPr>
          <w:b/>
          <w:bCs/>
          <w:sz w:val="28"/>
          <w:szCs w:val="28"/>
        </w:rPr>
        <w:t>Indoor plants</w:t>
      </w:r>
      <w:r w:rsidRPr="00705C40">
        <w:rPr>
          <w:sz w:val="28"/>
          <w:szCs w:val="28"/>
        </w:rPr>
        <w:t> contribute the greatest share of both sales and gross profit</w:t>
      </w:r>
      <w:r w:rsidRPr="00705C40">
        <w:rPr>
          <w:sz w:val="32"/>
          <w:szCs w:val="32"/>
        </w:rPr>
        <w:t xml:space="preserve"> </w:t>
      </w:r>
      <w:r w:rsidRPr="00705C40">
        <w:rPr>
          <w:sz w:val="28"/>
          <w:szCs w:val="28"/>
        </w:rPr>
        <w:t>(roughly half of total volume), followed by </w:t>
      </w:r>
      <w:r w:rsidRPr="00705C40">
        <w:rPr>
          <w:b/>
          <w:bCs/>
          <w:sz w:val="28"/>
          <w:szCs w:val="28"/>
        </w:rPr>
        <w:t>Landscape</w:t>
      </w:r>
      <w:r w:rsidRPr="00705C40">
        <w:rPr>
          <w:sz w:val="28"/>
          <w:szCs w:val="28"/>
        </w:rPr>
        <w:t> and </w:t>
      </w:r>
      <w:r w:rsidRPr="00705C40">
        <w:rPr>
          <w:b/>
          <w:bCs/>
          <w:sz w:val="28"/>
          <w:szCs w:val="28"/>
        </w:rPr>
        <w:t>Outdoor</w:t>
      </w:r>
      <w:r w:rsidRPr="00705C40">
        <w:rPr>
          <w:sz w:val="28"/>
          <w:szCs w:val="28"/>
        </w:rPr>
        <w:t> products. The </w:t>
      </w:r>
      <w:r w:rsidRPr="00705C40">
        <w:rPr>
          <w:b/>
          <w:bCs/>
          <w:sz w:val="28"/>
          <w:szCs w:val="28"/>
        </w:rPr>
        <w:t>Outdoor</w:t>
      </w:r>
      <w:r w:rsidRPr="00705C40">
        <w:rPr>
          <w:sz w:val="28"/>
          <w:szCs w:val="28"/>
        </w:rPr>
        <w:t xml:space="preserve"> segment is the smallest contributor and shows relative </w:t>
      </w:r>
      <w:r w:rsidRPr="00705C40">
        <w:rPr>
          <w:sz w:val="28"/>
          <w:szCs w:val="28"/>
        </w:rPr>
        <w:lastRenderedPageBreak/>
        <w:t>weakness, suggesting it may require additional strategic focus. Seasonally, the </w:t>
      </w:r>
      <w:r w:rsidRPr="00705C40">
        <w:rPr>
          <w:b/>
          <w:bCs/>
          <w:sz w:val="28"/>
          <w:szCs w:val="28"/>
        </w:rPr>
        <w:t>most profitable months</w:t>
      </w:r>
      <w:r w:rsidRPr="00705C40">
        <w:rPr>
          <w:sz w:val="28"/>
          <w:szCs w:val="28"/>
        </w:rPr>
        <w:t> were </w:t>
      </w:r>
      <w:r w:rsidRPr="00705C40">
        <w:rPr>
          <w:b/>
          <w:bCs/>
          <w:sz w:val="28"/>
          <w:szCs w:val="28"/>
        </w:rPr>
        <w:t>April and November</w:t>
      </w:r>
      <w:r w:rsidRPr="00705C40">
        <w:rPr>
          <w:sz w:val="28"/>
          <w:szCs w:val="28"/>
        </w:rPr>
        <w:t> (each ~$0.50M GP), leveraging strong first-quarter and holiday season demand. In contrast, </w:t>
      </w:r>
      <w:r w:rsidRPr="00705C40">
        <w:rPr>
          <w:b/>
          <w:bCs/>
          <w:sz w:val="28"/>
          <w:szCs w:val="28"/>
        </w:rPr>
        <w:t>May and August</w:t>
      </w:r>
      <w:r w:rsidRPr="00705C40">
        <w:rPr>
          <w:sz w:val="28"/>
          <w:szCs w:val="28"/>
        </w:rPr>
        <w:t> underperformed relative to prior year (notably, June saw a steep GP decline of –$0.15M). These patterns suggest opportunities to shift resources toward high-performing product lines and peak months while addressing lagging areas.</w:t>
      </w:r>
    </w:p>
    <w:p w14:paraId="76A6BA15" w14:textId="125CAD69" w:rsidR="000750C7" w:rsidRPr="00705C40" w:rsidRDefault="000750C7" w:rsidP="007E7D16">
      <w:pPr>
        <w:rPr>
          <w:sz w:val="32"/>
          <w:szCs w:val="32"/>
        </w:rPr>
      </w:pPr>
      <w:r>
        <w:rPr>
          <w:noProof/>
          <w:sz w:val="32"/>
          <w:szCs w:val="32"/>
        </w:rPr>
        <w:drawing>
          <wp:anchor distT="0" distB="0" distL="114300" distR="114300" simplePos="0" relativeHeight="251658240" behindDoc="0" locked="0" layoutInCell="1" allowOverlap="1" wp14:anchorId="0BB63424" wp14:editId="16502EDC">
            <wp:simplePos x="0" y="0"/>
            <wp:positionH relativeFrom="margin">
              <wp:align>left</wp:align>
            </wp:positionH>
            <wp:positionV relativeFrom="paragraph">
              <wp:posOffset>379966</wp:posOffset>
            </wp:positionV>
            <wp:extent cx="5731510" cy="3162300"/>
            <wp:effectExtent l="0" t="0" r="2540" b="0"/>
            <wp:wrapTopAndBottom/>
            <wp:docPr id="175242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26276" name="Picture 17524262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14:sizeRelH relativeFrom="page">
              <wp14:pctWidth>0</wp14:pctWidth>
            </wp14:sizeRelH>
            <wp14:sizeRelV relativeFrom="page">
              <wp14:pctHeight>0</wp14:pctHeight>
            </wp14:sizeRelV>
          </wp:anchor>
        </w:drawing>
      </w:r>
    </w:p>
    <w:p w14:paraId="0258D420" w14:textId="331A94DF" w:rsidR="002302F2" w:rsidRDefault="002302F2"/>
    <w:p w14:paraId="7014D301" w14:textId="3262504D" w:rsidR="007E7D16" w:rsidRPr="00705C40" w:rsidRDefault="007E7D16" w:rsidP="007E7D16">
      <w:pPr>
        <w:rPr>
          <w:b/>
          <w:bCs/>
          <w:sz w:val="32"/>
          <w:szCs w:val="32"/>
        </w:rPr>
      </w:pPr>
      <w:r w:rsidRPr="00705C40">
        <w:rPr>
          <w:b/>
          <w:bCs/>
          <w:sz w:val="32"/>
          <w:szCs w:val="32"/>
        </w:rPr>
        <w:t>Summary of Insights</w:t>
      </w:r>
    </w:p>
    <w:p w14:paraId="69EFB74F" w14:textId="7A9EBEAB" w:rsidR="007E7D16" w:rsidRPr="00705C40" w:rsidRDefault="007E7D16" w:rsidP="007E7D16">
      <w:pPr>
        <w:rPr>
          <w:sz w:val="28"/>
          <w:szCs w:val="28"/>
        </w:rPr>
      </w:pPr>
      <w:r w:rsidRPr="00705C40">
        <w:rPr>
          <w:b/>
          <w:bCs/>
          <w:sz w:val="28"/>
          <w:szCs w:val="28"/>
        </w:rPr>
        <w:t>Country and Product Demand:</w:t>
      </w:r>
      <w:r w:rsidRPr="00705C40">
        <w:rPr>
          <w:sz w:val="28"/>
          <w:szCs w:val="28"/>
        </w:rPr>
        <w:t xml:space="preserve"> </w:t>
      </w:r>
      <w:r w:rsidRPr="00264A50">
        <w:rPr>
          <w:sz w:val="28"/>
          <w:szCs w:val="28"/>
        </w:rPr>
        <w:t>C</w:t>
      </w:r>
      <w:r w:rsidRPr="00705C40">
        <w:rPr>
          <w:sz w:val="28"/>
          <w:szCs w:val="28"/>
        </w:rPr>
        <w:t>ountry-level data reveals that major markets exhibit distinct product preferences. For example, the </w:t>
      </w:r>
      <w:r w:rsidRPr="00705C40">
        <w:rPr>
          <w:b/>
          <w:bCs/>
          <w:sz w:val="28"/>
          <w:szCs w:val="28"/>
        </w:rPr>
        <w:t>United States</w:t>
      </w:r>
      <w:r w:rsidRPr="00705C40">
        <w:rPr>
          <w:sz w:val="28"/>
          <w:szCs w:val="28"/>
        </w:rPr>
        <w:t> leads in total demand across all product types, particularly </w:t>
      </w:r>
      <w:r w:rsidRPr="00705C40">
        <w:rPr>
          <w:b/>
          <w:bCs/>
          <w:sz w:val="28"/>
          <w:szCs w:val="28"/>
        </w:rPr>
        <w:t>Indoor plants</w:t>
      </w:r>
      <w:r w:rsidRPr="00705C40">
        <w:rPr>
          <w:sz w:val="28"/>
          <w:szCs w:val="28"/>
        </w:rPr>
        <w:t>, while </w:t>
      </w:r>
      <w:r w:rsidRPr="00705C40">
        <w:rPr>
          <w:b/>
          <w:bCs/>
          <w:sz w:val="28"/>
          <w:szCs w:val="28"/>
        </w:rPr>
        <w:t>China</w:t>
      </w:r>
      <w:r w:rsidRPr="00705C40">
        <w:rPr>
          <w:sz w:val="28"/>
          <w:szCs w:val="28"/>
        </w:rPr>
        <w:t xml:space="preserve"> also shows strong demand for Indoor but has experienced a marked decline. </w:t>
      </w:r>
    </w:p>
    <w:p w14:paraId="2C584BE9" w14:textId="77777777" w:rsidR="007E7D16" w:rsidRPr="00705C40" w:rsidRDefault="007E7D16" w:rsidP="007E7D16">
      <w:pPr>
        <w:rPr>
          <w:sz w:val="28"/>
          <w:szCs w:val="28"/>
        </w:rPr>
      </w:pPr>
      <w:r w:rsidRPr="00705C40">
        <w:rPr>
          <w:sz w:val="28"/>
          <w:szCs w:val="28"/>
        </w:rPr>
        <w:t> </w:t>
      </w:r>
    </w:p>
    <w:p w14:paraId="5264E6EF" w14:textId="06A3BD4E" w:rsidR="007E7D16" w:rsidRPr="00705C40" w:rsidRDefault="007E7D16" w:rsidP="007E7D16">
      <w:pPr>
        <w:rPr>
          <w:sz w:val="28"/>
          <w:szCs w:val="28"/>
        </w:rPr>
      </w:pPr>
      <w:r w:rsidRPr="00705C40">
        <w:rPr>
          <w:b/>
          <w:bCs/>
          <w:sz w:val="28"/>
          <w:szCs w:val="28"/>
        </w:rPr>
        <w:t>Product-Type Contributions:</w:t>
      </w:r>
      <w:r w:rsidRPr="00705C40">
        <w:rPr>
          <w:sz w:val="28"/>
          <w:szCs w:val="28"/>
        </w:rPr>
        <w:t> Across all products, </w:t>
      </w:r>
      <w:r w:rsidRPr="00705C40">
        <w:rPr>
          <w:b/>
          <w:bCs/>
          <w:sz w:val="28"/>
          <w:szCs w:val="28"/>
        </w:rPr>
        <w:t>Indoor</w:t>
      </w:r>
      <w:r w:rsidRPr="00705C40">
        <w:rPr>
          <w:sz w:val="28"/>
          <w:szCs w:val="28"/>
        </w:rPr>
        <w:t> is the top performer. From the monthly revenue stack chart, Indoor plants (dark blue series) constitute roughly </w:t>
      </w:r>
      <w:r w:rsidRPr="00705C40">
        <w:rPr>
          <w:b/>
          <w:bCs/>
          <w:sz w:val="28"/>
          <w:szCs w:val="28"/>
        </w:rPr>
        <w:t>50% or more</w:t>
      </w:r>
      <w:r w:rsidRPr="00705C40">
        <w:rPr>
          <w:sz w:val="28"/>
          <w:szCs w:val="28"/>
        </w:rPr>
        <w:t> of each month’s sales, with </w:t>
      </w:r>
      <w:r w:rsidRPr="00705C40">
        <w:rPr>
          <w:b/>
          <w:bCs/>
          <w:sz w:val="28"/>
          <w:szCs w:val="28"/>
        </w:rPr>
        <w:t>Landscape</w:t>
      </w:r>
      <w:r w:rsidRPr="00705C40">
        <w:rPr>
          <w:sz w:val="28"/>
          <w:szCs w:val="28"/>
        </w:rPr>
        <w:t> second and </w:t>
      </w:r>
      <w:r w:rsidRPr="00705C40">
        <w:rPr>
          <w:b/>
          <w:bCs/>
          <w:sz w:val="28"/>
          <w:szCs w:val="28"/>
        </w:rPr>
        <w:t>Outdoor</w:t>
      </w:r>
      <w:r w:rsidRPr="00705C40">
        <w:rPr>
          <w:sz w:val="28"/>
          <w:szCs w:val="28"/>
        </w:rPr>
        <w:t xml:space="preserve"> third. In 2023, Indoor products </w:t>
      </w:r>
      <w:r w:rsidRPr="00705C40">
        <w:rPr>
          <w:sz w:val="28"/>
          <w:szCs w:val="28"/>
        </w:rPr>
        <w:lastRenderedPageBreak/>
        <w:t xml:space="preserve">generated the highest gross profit, supporting the overall GP% of ~39.6%. Landscape products contribute moderately, while Outdoor products contribute the least </w:t>
      </w:r>
    </w:p>
    <w:p w14:paraId="03FC4EFF" w14:textId="77777777" w:rsidR="007E7D16" w:rsidRPr="00705C40" w:rsidRDefault="007E7D16" w:rsidP="007E7D16">
      <w:pPr>
        <w:rPr>
          <w:sz w:val="28"/>
          <w:szCs w:val="28"/>
        </w:rPr>
      </w:pPr>
      <w:r w:rsidRPr="00705C40">
        <w:rPr>
          <w:sz w:val="28"/>
          <w:szCs w:val="28"/>
        </w:rPr>
        <w:t> </w:t>
      </w:r>
    </w:p>
    <w:p w14:paraId="10187440" w14:textId="77777777" w:rsidR="00F80D55" w:rsidRPr="00F80D55" w:rsidRDefault="00F80D55" w:rsidP="00F80D55">
      <w:pPr>
        <w:rPr>
          <w:b/>
          <w:bCs/>
          <w:sz w:val="28"/>
          <w:szCs w:val="28"/>
        </w:rPr>
      </w:pPr>
      <w:r w:rsidRPr="00F80D55">
        <w:rPr>
          <w:b/>
          <w:bCs/>
          <w:sz w:val="28"/>
          <w:szCs w:val="28"/>
        </w:rPr>
        <w:t>Monthly Trends &amp; Seasonality (Condensed Insight)</w:t>
      </w:r>
    </w:p>
    <w:p w14:paraId="153073E6" w14:textId="77777777" w:rsidR="00F80D55" w:rsidRPr="00F80D55" w:rsidRDefault="00F80D55" w:rsidP="00F80D55">
      <w:pPr>
        <w:numPr>
          <w:ilvl w:val="0"/>
          <w:numId w:val="3"/>
        </w:numPr>
        <w:rPr>
          <w:sz w:val="28"/>
          <w:szCs w:val="28"/>
        </w:rPr>
      </w:pPr>
      <w:r w:rsidRPr="00F80D55">
        <w:rPr>
          <w:b/>
          <w:bCs/>
          <w:sz w:val="28"/>
          <w:szCs w:val="28"/>
        </w:rPr>
        <w:t>Peak months:</w:t>
      </w:r>
      <w:r w:rsidRPr="00F80D55">
        <w:rPr>
          <w:sz w:val="28"/>
          <w:szCs w:val="28"/>
        </w:rPr>
        <w:t xml:space="preserve"> April and November showed the highest gross profit (~$0.48M and ~$0.50M respectively), indicating strong seasonal demand.</w:t>
      </w:r>
    </w:p>
    <w:p w14:paraId="7EDAFE51" w14:textId="77777777" w:rsidR="00F80D55" w:rsidRPr="00F80D55" w:rsidRDefault="00F80D55" w:rsidP="00F80D55">
      <w:pPr>
        <w:numPr>
          <w:ilvl w:val="0"/>
          <w:numId w:val="3"/>
        </w:numPr>
        <w:rPr>
          <w:sz w:val="28"/>
          <w:szCs w:val="28"/>
        </w:rPr>
      </w:pPr>
      <w:r w:rsidRPr="00F80D55">
        <w:rPr>
          <w:b/>
          <w:bCs/>
          <w:sz w:val="28"/>
          <w:szCs w:val="28"/>
        </w:rPr>
        <w:t>Dip months:</w:t>
      </w:r>
      <w:r w:rsidRPr="00F80D55">
        <w:rPr>
          <w:sz w:val="28"/>
          <w:szCs w:val="28"/>
        </w:rPr>
        <w:t xml:space="preserve"> June and August underperformed, with GP falling below $0.40M—suggesting potential off-season or sales slowdown.</w:t>
      </w:r>
    </w:p>
    <w:p w14:paraId="325B595F" w14:textId="77777777" w:rsidR="00F80D55" w:rsidRPr="00F80D55" w:rsidRDefault="00F80D55" w:rsidP="00F80D55">
      <w:pPr>
        <w:numPr>
          <w:ilvl w:val="0"/>
          <w:numId w:val="3"/>
        </w:numPr>
        <w:rPr>
          <w:sz w:val="28"/>
          <w:szCs w:val="28"/>
        </w:rPr>
      </w:pPr>
      <w:r w:rsidRPr="00F80D55">
        <w:rPr>
          <w:b/>
          <w:bCs/>
          <w:sz w:val="28"/>
          <w:szCs w:val="28"/>
        </w:rPr>
        <w:t>Consistent Performance:</w:t>
      </w:r>
      <w:r w:rsidRPr="00F80D55">
        <w:rPr>
          <w:sz w:val="28"/>
          <w:szCs w:val="28"/>
        </w:rPr>
        <w:t xml:space="preserve"> February to May maintained stable GP levels, suggesting these months are reliable for planning campaigns.</w:t>
      </w:r>
    </w:p>
    <w:p w14:paraId="237FCFC5" w14:textId="77777777" w:rsidR="007E7D16" w:rsidRPr="00705C40" w:rsidRDefault="007E7D16" w:rsidP="007E7D16">
      <w:pPr>
        <w:rPr>
          <w:sz w:val="28"/>
          <w:szCs w:val="28"/>
        </w:rPr>
      </w:pPr>
      <w:r w:rsidRPr="00705C40">
        <w:rPr>
          <w:sz w:val="28"/>
          <w:szCs w:val="28"/>
        </w:rPr>
        <w:t> </w:t>
      </w:r>
    </w:p>
    <w:p w14:paraId="086654FE" w14:textId="77777777" w:rsidR="00F80D55" w:rsidRPr="00705C40" w:rsidRDefault="00F80D55" w:rsidP="00F80D55">
      <w:pPr>
        <w:rPr>
          <w:b/>
          <w:bCs/>
          <w:sz w:val="32"/>
          <w:szCs w:val="32"/>
        </w:rPr>
      </w:pPr>
      <w:r w:rsidRPr="00705C40">
        <w:rPr>
          <w:b/>
          <w:bCs/>
          <w:sz w:val="32"/>
          <w:szCs w:val="32"/>
        </w:rPr>
        <w:t>Recommendations</w:t>
      </w:r>
    </w:p>
    <w:p w14:paraId="58D73757" w14:textId="77777777" w:rsidR="00F80D55" w:rsidRPr="00705C40" w:rsidRDefault="00F80D55" w:rsidP="00F80D55">
      <w:pPr>
        <w:numPr>
          <w:ilvl w:val="0"/>
          <w:numId w:val="2"/>
        </w:numPr>
        <w:rPr>
          <w:sz w:val="28"/>
          <w:szCs w:val="28"/>
        </w:rPr>
      </w:pPr>
      <w:r w:rsidRPr="00705C40">
        <w:rPr>
          <w:b/>
          <w:bCs/>
          <w:sz w:val="28"/>
          <w:szCs w:val="28"/>
        </w:rPr>
        <w:t>Reinforce Top Product Lines:</w:t>
      </w:r>
      <w:r w:rsidRPr="00705C40">
        <w:rPr>
          <w:sz w:val="28"/>
          <w:szCs w:val="28"/>
        </w:rPr>
        <w:t> Continue to prioritize the Indoor product line, which drives the most sales and profit. Maintain high service levels and marketing support for Indoor plants, especially in peak seasons (spring and pre-holiday).</w:t>
      </w:r>
    </w:p>
    <w:p w14:paraId="5372DEBE" w14:textId="77777777" w:rsidR="00F80D55" w:rsidRPr="00705C40" w:rsidRDefault="00F80D55" w:rsidP="00F80D55">
      <w:pPr>
        <w:numPr>
          <w:ilvl w:val="0"/>
          <w:numId w:val="2"/>
        </w:numPr>
        <w:rPr>
          <w:sz w:val="28"/>
          <w:szCs w:val="28"/>
        </w:rPr>
      </w:pPr>
      <w:r w:rsidRPr="00705C40">
        <w:rPr>
          <w:b/>
          <w:bCs/>
          <w:sz w:val="28"/>
          <w:szCs w:val="28"/>
        </w:rPr>
        <w:t>Revitalize the Outdoor Segment:</w:t>
      </w:r>
      <w:r w:rsidRPr="00705C40">
        <w:rPr>
          <w:sz w:val="28"/>
          <w:szCs w:val="28"/>
        </w:rPr>
        <w:t xml:space="preserve"> Develop a strategic plan to boost demand for Outdoor products. This could include targeted promotions, bundling with higher-margin products, or introducing new Outdoor offerings. Evaluate cost structure and pricing to improve </w:t>
      </w:r>
      <w:proofErr w:type="spellStart"/>
      <w:r w:rsidRPr="00705C40">
        <w:rPr>
          <w:sz w:val="28"/>
          <w:szCs w:val="28"/>
        </w:rPr>
        <w:t>Outdoor’s</w:t>
      </w:r>
      <w:proofErr w:type="spellEnd"/>
      <w:r w:rsidRPr="00705C40">
        <w:rPr>
          <w:sz w:val="28"/>
          <w:szCs w:val="28"/>
        </w:rPr>
        <w:t xml:space="preserve"> profitability.</w:t>
      </w:r>
    </w:p>
    <w:p w14:paraId="78D80C91" w14:textId="15A02565" w:rsidR="00F80D55" w:rsidRPr="00264A50" w:rsidRDefault="00F80D55" w:rsidP="00F80D55">
      <w:pPr>
        <w:numPr>
          <w:ilvl w:val="0"/>
          <w:numId w:val="2"/>
        </w:numPr>
        <w:rPr>
          <w:sz w:val="28"/>
          <w:szCs w:val="28"/>
        </w:rPr>
      </w:pPr>
      <w:r w:rsidRPr="00705C40">
        <w:rPr>
          <w:b/>
          <w:bCs/>
          <w:sz w:val="28"/>
          <w:szCs w:val="28"/>
        </w:rPr>
        <w:t>Address Market-Specific Declines:</w:t>
      </w:r>
      <w:r w:rsidRPr="00705C40">
        <w:rPr>
          <w:sz w:val="28"/>
          <w:szCs w:val="28"/>
        </w:rPr>
        <w:t> Conduct a thorough review of the Chinese market strategy. The –$0.405M GP decline suggests lost demand or pricing pressure. Actions may include localized marketing, adjusting product mix (e.g. promoting top-selling product types in China), or revising pricing and distribution partnerships</w:t>
      </w:r>
    </w:p>
    <w:p w14:paraId="727C95D6" w14:textId="77777777" w:rsidR="007F318D" w:rsidRPr="00264A50" w:rsidRDefault="007F318D" w:rsidP="007F318D">
      <w:pPr>
        <w:ind w:left="360"/>
        <w:rPr>
          <w:b/>
          <w:bCs/>
          <w:sz w:val="28"/>
          <w:szCs w:val="28"/>
        </w:rPr>
      </w:pPr>
    </w:p>
    <w:p w14:paraId="2FF74CFB" w14:textId="0DBEB5A0" w:rsidR="007F318D" w:rsidRPr="00264A50" w:rsidRDefault="007F318D" w:rsidP="007F318D">
      <w:pPr>
        <w:rPr>
          <w:b/>
          <w:bCs/>
          <w:sz w:val="32"/>
          <w:szCs w:val="32"/>
        </w:rPr>
      </w:pPr>
      <w:r w:rsidRPr="00264A50">
        <w:rPr>
          <w:b/>
          <w:bCs/>
          <w:sz w:val="32"/>
          <w:szCs w:val="32"/>
        </w:rPr>
        <w:t>Assumptions and Caveats</w:t>
      </w:r>
    </w:p>
    <w:p w14:paraId="0CA4030C" w14:textId="48606A7B" w:rsidR="007F318D" w:rsidRPr="00264A50" w:rsidRDefault="007F318D" w:rsidP="007F318D">
      <w:pPr>
        <w:pStyle w:val="ListParagraph"/>
        <w:numPr>
          <w:ilvl w:val="0"/>
          <w:numId w:val="6"/>
        </w:numPr>
        <w:rPr>
          <w:bCs/>
          <w:sz w:val="28"/>
          <w:szCs w:val="28"/>
        </w:rPr>
      </w:pPr>
      <w:r w:rsidRPr="00264A50">
        <w:rPr>
          <w:bCs/>
          <w:sz w:val="28"/>
          <w:szCs w:val="28"/>
        </w:rPr>
        <w:lastRenderedPageBreak/>
        <w:t>We need to focus on China, where sales are declining. This may be due to reduced customer interest or pricing issues affecting competitiveness in that market</w:t>
      </w:r>
    </w:p>
    <w:p w14:paraId="313A72D4" w14:textId="3D21ABC9" w:rsidR="007F318D" w:rsidRPr="00264A50" w:rsidRDefault="007F318D" w:rsidP="007F318D">
      <w:pPr>
        <w:pStyle w:val="ListParagraph"/>
        <w:numPr>
          <w:ilvl w:val="0"/>
          <w:numId w:val="6"/>
        </w:numPr>
        <w:rPr>
          <w:bCs/>
          <w:sz w:val="28"/>
          <w:szCs w:val="28"/>
        </w:rPr>
      </w:pPr>
      <w:r w:rsidRPr="00264A50">
        <w:rPr>
          <w:bCs/>
          <w:sz w:val="28"/>
          <w:szCs w:val="28"/>
        </w:rPr>
        <w:t>We need to focus on the outdoor product category, as its sales have been declining month by month. If no corrective action is taken, this could result in an additional 10–12% drop in sales in the upcoming year.</w:t>
      </w:r>
    </w:p>
    <w:sectPr w:rsidR="007F318D" w:rsidRPr="00264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B6B"/>
    <w:multiLevelType w:val="multilevel"/>
    <w:tmpl w:val="3D88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45303"/>
    <w:multiLevelType w:val="hybridMultilevel"/>
    <w:tmpl w:val="D0F6EA22"/>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2" w15:restartNumberingAfterBreak="0">
    <w:nsid w:val="351813F3"/>
    <w:multiLevelType w:val="multilevel"/>
    <w:tmpl w:val="FE9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C4C49"/>
    <w:multiLevelType w:val="hybridMultilevel"/>
    <w:tmpl w:val="9620F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470425"/>
    <w:multiLevelType w:val="multilevel"/>
    <w:tmpl w:val="3BEA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9E63CC"/>
    <w:multiLevelType w:val="hybridMultilevel"/>
    <w:tmpl w:val="9E86E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7658377">
    <w:abstractNumId w:val="0"/>
  </w:num>
  <w:num w:numId="2" w16cid:durableId="1101755274">
    <w:abstractNumId w:val="4"/>
  </w:num>
  <w:num w:numId="3" w16cid:durableId="2133133100">
    <w:abstractNumId w:val="2"/>
  </w:num>
  <w:num w:numId="4" w16cid:durableId="26833667">
    <w:abstractNumId w:val="1"/>
  </w:num>
  <w:num w:numId="5" w16cid:durableId="590160416">
    <w:abstractNumId w:val="3"/>
  </w:num>
  <w:num w:numId="6" w16cid:durableId="55052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35"/>
    <w:rsid w:val="000750C7"/>
    <w:rsid w:val="002302F2"/>
    <w:rsid w:val="00264A50"/>
    <w:rsid w:val="002B6427"/>
    <w:rsid w:val="005D512D"/>
    <w:rsid w:val="00713635"/>
    <w:rsid w:val="007E7D16"/>
    <w:rsid w:val="007F318D"/>
    <w:rsid w:val="00A01831"/>
    <w:rsid w:val="00F15F49"/>
    <w:rsid w:val="00F80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B9A4"/>
  <w15:chartTrackingRefBased/>
  <w15:docId w15:val="{4868CF70-600B-48A3-9EE3-084451EA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35"/>
  </w:style>
  <w:style w:type="paragraph" w:styleId="Heading1">
    <w:name w:val="heading 1"/>
    <w:basedOn w:val="Normal"/>
    <w:next w:val="Normal"/>
    <w:link w:val="Heading1Char"/>
    <w:uiPriority w:val="9"/>
    <w:qFormat/>
    <w:rsid w:val="00713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635"/>
    <w:rPr>
      <w:rFonts w:eastAsiaTheme="majorEastAsia" w:cstheme="majorBidi"/>
      <w:color w:val="272727" w:themeColor="text1" w:themeTint="D8"/>
    </w:rPr>
  </w:style>
  <w:style w:type="paragraph" w:styleId="Title">
    <w:name w:val="Title"/>
    <w:basedOn w:val="Normal"/>
    <w:next w:val="Normal"/>
    <w:link w:val="TitleChar"/>
    <w:uiPriority w:val="10"/>
    <w:qFormat/>
    <w:rsid w:val="00713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635"/>
    <w:pPr>
      <w:spacing w:before="160"/>
      <w:jc w:val="center"/>
    </w:pPr>
    <w:rPr>
      <w:i/>
      <w:iCs/>
      <w:color w:val="404040" w:themeColor="text1" w:themeTint="BF"/>
    </w:rPr>
  </w:style>
  <w:style w:type="character" w:customStyle="1" w:styleId="QuoteChar">
    <w:name w:val="Quote Char"/>
    <w:basedOn w:val="DefaultParagraphFont"/>
    <w:link w:val="Quote"/>
    <w:uiPriority w:val="29"/>
    <w:rsid w:val="00713635"/>
    <w:rPr>
      <w:i/>
      <w:iCs/>
      <w:color w:val="404040" w:themeColor="text1" w:themeTint="BF"/>
    </w:rPr>
  </w:style>
  <w:style w:type="paragraph" w:styleId="ListParagraph">
    <w:name w:val="List Paragraph"/>
    <w:basedOn w:val="Normal"/>
    <w:uiPriority w:val="34"/>
    <w:qFormat/>
    <w:rsid w:val="00713635"/>
    <w:pPr>
      <w:ind w:left="720"/>
      <w:contextualSpacing/>
    </w:pPr>
  </w:style>
  <w:style w:type="character" w:styleId="IntenseEmphasis">
    <w:name w:val="Intense Emphasis"/>
    <w:basedOn w:val="DefaultParagraphFont"/>
    <w:uiPriority w:val="21"/>
    <w:qFormat/>
    <w:rsid w:val="00713635"/>
    <w:rPr>
      <w:i/>
      <w:iCs/>
      <w:color w:val="0F4761" w:themeColor="accent1" w:themeShade="BF"/>
    </w:rPr>
  </w:style>
  <w:style w:type="paragraph" w:styleId="IntenseQuote">
    <w:name w:val="Intense Quote"/>
    <w:basedOn w:val="Normal"/>
    <w:next w:val="Normal"/>
    <w:link w:val="IntenseQuoteChar"/>
    <w:uiPriority w:val="30"/>
    <w:qFormat/>
    <w:rsid w:val="00713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635"/>
    <w:rPr>
      <w:i/>
      <w:iCs/>
      <w:color w:val="0F4761" w:themeColor="accent1" w:themeShade="BF"/>
    </w:rPr>
  </w:style>
  <w:style w:type="character" w:styleId="IntenseReference">
    <w:name w:val="Intense Reference"/>
    <w:basedOn w:val="DefaultParagraphFont"/>
    <w:uiPriority w:val="32"/>
    <w:qFormat/>
    <w:rsid w:val="00713635"/>
    <w:rPr>
      <w:b/>
      <w:bCs/>
      <w:smallCaps/>
      <w:color w:val="0F4761" w:themeColor="accent1" w:themeShade="BF"/>
      <w:spacing w:val="5"/>
    </w:rPr>
  </w:style>
  <w:style w:type="paragraph" w:styleId="NormalWeb">
    <w:name w:val="Normal (Web)"/>
    <w:basedOn w:val="Normal"/>
    <w:uiPriority w:val="99"/>
    <w:semiHidden/>
    <w:unhideWhenUsed/>
    <w:rsid w:val="00A018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43831">
      <w:bodyDiv w:val="1"/>
      <w:marLeft w:val="0"/>
      <w:marRight w:val="0"/>
      <w:marTop w:val="0"/>
      <w:marBottom w:val="0"/>
      <w:divBdr>
        <w:top w:val="none" w:sz="0" w:space="0" w:color="auto"/>
        <w:left w:val="none" w:sz="0" w:space="0" w:color="auto"/>
        <w:bottom w:val="none" w:sz="0" w:space="0" w:color="auto"/>
        <w:right w:val="none" w:sz="0" w:space="0" w:color="auto"/>
      </w:divBdr>
    </w:div>
    <w:div w:id="251009351">
      <w:bodyDiv w:val="1"/>
      <w:marLeft w:val="0"/>
      <w:marRight w:val="0"/>
      <w:marTop w:val="0"/>
      <w:marBottom w:val="0"/>
      <w:divBdr>
        <w:top w:val="none" w:sz="0" w:space="0" w:color="auto"/>
        <w:left w:val="none" w:sz="0" w:space="0" w:color="auto"/>
        <w:bottom w:val="none" w:sz="0" w:space="0" w:color="auto"/>
        <w:right w:val="none" w:sz="0" w:space="0" w:color="auto"/>
      </w:divBdr>
    </w:div>
    <w:div w:id="426729339">
      <w:bodyDiv w:val="1"/>
      <w:marLeft w:val="0"/>
      <w:marRight w:val="0"/>
      <w:marTop w:val="0"/>
      <w:marBottom w:val="0"/>
      <w:divBdr>
        <w:top w:val="none" w:sz="0" w:space="0" w:color="auto"/>
        <w:left w:val="none" w:sz="0" w:space="0" w:color="auto"/>
        <w:bottom w:val="none" w:sz="0" w:space="0" w:color="auto"/>
        <w:right w:val="none" w:sz="0" w:space="0" w:color="auto"/>
      </w:divBdr>
    </w:div>
    <w:div w:id="974332846">
      <w:bodyDiv w:val="1"/>
      <w:marLeft w:val="0"/>
      <w:marRight w:val="0"/>
      <w:marTop w:val="0"/>
      <w:marBottom w:val="0"/>
      <w:divBdr>
        <w:top w:val="none" w:sz="0" w:space="0" w:color="auto"/>
        <w:left w:val="none" w:sz="0" w:space="0" w:color="auto"/>
        <w:bottom w:val="none" w:sz="0" w:space="0" w:color="auto"/>
        <w:right w:val="none" w:sz="0" w:space="0" w:color="auto"/>
      </w:divBdr>
    </w:div>
    <w:div w:id="1133477289">
      <w:bodyDiv w:val="1"/>
      <w:marLeft w:val="0"/>
      <w:marRight w:val="0"/>
      <w:marTop w:val="0"/>
      <w:marBottom w:val="0"/>
      <w:divBdr>
        <w:top w:val="none" w:sz="0" w:space="0" w:color="auto"/>
        <w:left w:val="none" w:sz="0" w:space="0" w:color="auto"/>
        <w:bottom w:val="none" w:sz="0" w:space="0" w:color="auto"/>
        <w:right w:val="none" w:sz="0" w:space="0" w:color="auto"/>
      </w:divBdr>
    </w:div>
    <w:div w:id="1234706307">
      <w:bodyDiv w:val="1"/>
      <w:marLeft w:val="0"/>
      <w:marRight w:val="0"/>
      <w:marTop w:val="0"/>
      <w:marBottom w:val="0"/>
      <w:divBdr>
        <w:top w:val="none" w:sz="0" w:space="0" w:color="auto"/>
        <w:left w:val="none" w:sz="0" w:space="0" w:color="auto"/>
        <w:bottom w:val="none" w:sz="0" w:space="0" w:color="auto"/>
        <w:right w:val="none" w:sz="0" w:space="0" w:color="auto"/>
      </w:divBdr>
    </w:div>
    <w:div w:id="1328099440">
      <w:bodyDiv w:val="1"/>
      <w:marLeft w:val="0"/>
      <w:marRight w:val="0"/>
      <w:marTop w:val="0"/>
      <w:marBottom w:val="0"/>
      <w:divBdr>
        <w:top w:val="none" w:sz="0" w:space="0" w:color="auto"/>
        <w:left w:val="none" w:sz="0" w:space="0" w:color="auto"/>
        <w:bottom w:val="none" w:sz="0" w:space="0" w:color="auto"/>
        <w:right w:val="none" w:sz="0" w:space="0" w:color="auto"/>
      </w:divBdr>
    </w:div>
    <w:div w:id="1503860092">
      <w:bodyDiv w:val="1"/>
      <w:marLeft w:val="0"/>
      <w:marRight w:val="0"/>
      <w:marTop w:val="0"/>
      <w:marBottom w:val="0"/>
      <w:divBdr>
        <w:top w:val="none" w:sz="0" w:space="0" w:color="auto"/>
        <w:left w:val="none" w:sz="0" w:space="0" w:color="auto"/>
        <w:bottom w:val="none" w:sz="0" w:space="0" w:color="auto"/>
        <w:right w:val="none" w:sz="0" w:space="0" w:color="auto"/>
      </w:divBdr>
    </w:div>
    <w:div w:id="1526676944">
      <w:bodyDiv w:val="1"/>
      <w:marLeft w:val="0"/>
      <w:marRight w:val="0"/>
      <w:marTop w:val="0"/>
      <w:marBottom w:val="0"/>
      <w:divBdr>
        <w:top w:val="none" w:sz="0" w:space="0" w:color="auto"/>
        <w:left w:val="none" w:sz="0" w:space="0" w:color="auto"/>
        <w:bottom w:val="none" w:sz="0" w:space="0" w:color="auto"/>
        <w:right w:val="none" w:sz="0" w:space="0" w:color="auto"/>
      </w:divBdr>
    </w:div>
    <w:div w:id="1669551952">
      <w:bodyDiv w:val="1"/>
      <w:marLeft w:val="0"/>
      <w:marRight w:val="0"/>
      <w:marTop w:val="0"/>
      <w:marBottom w:val="0"/>
      <w:divBdr>
        <w:top w:val="none" w:sz="0" w:space="0" w:color="auto"/>
        <w:left w:val="none" w:sz="0" w:space="0" w:color="auto"/>
        <w:bottom w:val="none" w:sz="0" w:space="0" w:color="auto"/>
        <w:right w:val="none" w:sz="0" w:space="0" w:color="auto"/>
      </w:divBdr>
    </w:div>
    <w:div w:id="1750155680">
      <w:bodyDiv w:val="1"/>
      <w:marLeft w:val="0"/>
      <w:marRight w:val="0"/>
      <w:marTop w:val="0"/>
      <w:marBottom w:val="0"/>
      <w:divBdr>
        <w:top w:val="none" w:sz="0" w:space="0" w:color="auto"/>
        <w:left w:val="none" w:sz="0" w:space="0" w:color="auto"/>
        <w:bottom w:val="none" w:sz="0" w:space="0" w:color="auto"/>
        <w:right w:val="none" w:sz="0" w:space="0" w:color="auto"/>
      </w:divBdr>
    </w:div>
    <w:div w:id="201001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abhishekkyadavvvvv@outlook.com</dc:creator>
  <cp:keywords/>
  <dc:description/>
  <cp:lastModifiedBy>abhishekkyadavvvvv@outlook.com</cp:lastModifiedBy>
  <cp:revision>3</cp:revision>
  <dcterms:created xsi:type="dcterms:W3CDTF">2025-05-02T17:09:00Z</dcterms:created>
  <dcterms:modified xsi:type="dcterms:W3CDTF">2025-05-02T19:44:00Z</dcterms:modified>
</cp:coreProperties>
</file>