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400" w:after="200"/>
        <w:jc w:val="center"/>
      </w:pPr>
      <w:r>
        <w:rPr>
          <w:rFonts w:ascii="Arial" w:cs="Arial" w:eastAsia="Arial" w:hAnsi="Arial"/>
          <w:b/>
          <w:bCs/>
          <w:color w:val="1F3864"/>
          <w:sz w:val="56"/>
          <w:szCs w:val="56"/>
        </w:rPr>
        <w:t xml:space="preserve">FRAUDSHIELD</w:t>
      </w:r>
    </w:p>
    <w:p>
      <w:pPr>
        <w:spacing w:before="100" w:after="100"/>
        <w:jc w:val="center"/>
      </w:pPr>
      <w:r>
        <w:rPr>
          <w:rFonts w:ascii="Arial" w:cs="Arial" w:eastAsia="Arial" w:hAnsi="Arial"/>
          <w:color w:val="2E75B6"/>
          <w:sz w:val="28"/>
          <w:szCs w:val="28"/>
        </w:rPr>
        <w:t xml:space="preserve">Big Data-Driven Credit Card Fraud Detection System</w:t>
      </w:r>
    </w:p>
    <w:p>
      <w:pPr>
        <w:pBdr>
          <w:bottom w:val="single" w:color="2E75B6" w:sz="6" w:space="1"/>
        </w:pBdr>
        <w:spacing w:before="100" w:after="100"/>
      </w:pPr>
      <w:r>
        <w:t xml:space="preserve"/>
      </w:r>
    </w:p>
    <w:p>
      <w:pPr>
        <w:spacing w:before="80" w:after="80"/>
      </w:pPr>
      <w:r>
        <w:t xml:space="preserve"/>
      </w:r>
    </w:p>
    <w:p>
      <w:pPr>
        <w:spacing w:before="200" w:after="100"/>
        <w:jc w:val="center"/>
      </w:pPr>
      <w:r>
        <w:rPr>
          <w:rFonts w:ascii="Arial" w:cs="Arial" w:eastAsia="Arial" w:hAnsi="Arial"/>
          <w:i/>
          <w:iCs/>
          <w:color w:val="555555"/>
          <w:sz w:val="24"/>
          <w:szCs w:val="24"/>
        </w:rPr>
        <w:t xml:space="preserve">Project Report</w:t>
      </w:r>
    </w:p>
    <w:p>
      <w:pPr>
        <w:spacing w:before="100" w:after="400"/>
        <w:jc w:val="center"/>
      </w:pPr>
      <w:r>
        <w:rPr>
          <w:rFonts w:ascii="Arial" w:cs="Arial" w:eastAsia="Arial" w:hAnsi="Arial"/>
          <w:color w:val="555555"/>
          <w:sz w:val="22"/>
          <w:szCs w:val="22"/>
        </w:rPr>
        <w:t xml:space="preserve">Department of Computer Science &amp; Engineering</w:t>
      </w:r>
    </w:p>
    <w:p>
      <w:pPr>
        <w:spacing w:before="80" w:after="80"/>
      </w:pPr>
      <w:r>
        <w:t xml:space="preserve"/>
      </w:r>
    </w:p>
    <w:p>
      <w:pPr>
        <w:spacing w:before="80" w:after="80"/>
      </w:pPr>
      <w:r>
        <w:t xml:space="preserve"/>
      </w:r>
    </w:p>
    <w:p>
      <w:r>
        <w:br w:type="page"/>
      </w:r>
    </w:p>
    <w:p>
      <w:pPr>
        <w:pStyle w:val="Heading1"/>
        <w:spacing w:before="360" w:after="200"/>
      </w:pPr>
      <w:r>
        <w:rPr>
          <w:rFonts w:ascii="Arial" w:cs="Arial" w:eastAsia="Arial" w:hAnsi="Arial"/>
          <w:b/>
          <w:bCs/>
          <w:color w:val="1F3864"/>
          <w:sz w:val="32"/>
          <w:szCs w:val="32"/>
        </w:rPr>
        <w:t xml:space="preserve">Abstract</w:t>
      </w:r>
    </w:p>
    <w:p>
      <w:pPr>
        <w:pBdr>
          <w:bottom w:val="single" w:color="2E75B6" w:sz="6" w:space="1"/>
        </w:pBdr>
        <w:spacing w:before="100" w:after="100"/>
      </w:pPr>
      <w:r>
        <w:t xml:space="preserve"/>
      </w:r>
    </w:p>
    <w:p>
      <w:pPr>
        <w:spacing w:before="100" w:after="100" w:line="320"/>
        <w:jc w:val="both"/>
      </w:pPr>
      <w:r>
        <w:rPr>
          <w:rFonts w:ascii="Arial" w:cs="Arial" w:eastAsia="Arial" w:hAnsi="Arial"/>
          <w:sz w:val="22"/>
          <w:szCs w:val="22"/>
        </w:rPr>
        <w:t xml:space="preserve">Credit card fraud is a rapidly growing threat in the digital financial ecosystem, causing billions of dollars in losses globally each year. Traditional rule-based systems are increasingly ineffective against sophisticated fraud patterns. This project presents FraudShield, a Big Data-driven credit card fraud detection system built using Apache Spark (PySpark) and Spark MLlib. The system leverages distributed computing to process large-scale transaction data and employs advanced machine learning models — Random Forest and Gradient Boosted Trees (GBT) — to classify each transaction with a real-time fraud risk score between 0 and 100.</w:t>
      </w:r>
    </w:p>
    <w:p>
      <w:pPr>
        <w:spacing w:before="80" w:after="80"/>
      </w:pPr>
      <w:r>
        <w:t xml:space="preserve"/>
      </w:r>
    </w:p>
    <w:p>
      <w:pPr>
        <w:spacing w:before="100" w:after="100" w:line="320"/>
        <w:jc w:val="both"/>
      </w:pPr>
      <w:r>
        <w:rPr>
          <w:rFonts w:ascii="Arial" w:cs="Arial" w:eastAsia="Arial" w:hAnsi="Arial"/>
          <w:sz w:val="22"/>
          <w:szCs w:val="22"/>
        </w:rPr>
        <w:t xml:space="preserve">A core challenge addressed in this work is the severe class imbalance inherent in fraud datasets, where fraudulent transactions represent only 0.231% of all records. This is resolved using a hybrid resampling strategy combining SMOTE (Synthetic Minority Over-sampling Technique) with Random Undersampling, achieving a balanced 20% fraud rate for training. Six domain-specific behavioral features are engineered including normalized amount, cyclic time encoding, and anomaly z-scores. The GBT model achieved 99.75% accuracy and a ROC-AUC score of 0.9993, outperforming Random Forest on 4 out of 5 evaluation metrics. The system is deployed as an interactive Streamlit web application that allows real-time fraud scoring, visual analytics, and CSV export of results.</w:t>
      </w:r>
    </w:p>
    <w:p>
      <w:pPr>
        <w:spacing w:before="80" w:after="80"/>
      </w:pPr>
      <w:r>
        <w:t xml:space="preserve"/>
      </w:r>
    </w:p>
    <w:p>
      <w:pPr>
        <w:spacing w:before="100" w:after="100"/>
      </w:pPr>
      <w:r>
        <w:rPr>
          <w:rFonts w:ascii="Arial" w:cs="Arial" w:eastAsia="Arial" w:hAnsi="Arial"/>
          <w:b/>
          <w:bCs/>
          <w:sz w:val="22"/>
          <w:szCs w:val="22"/>
        </w:rPr>
        <w:t xml:space="preserve">Keywords: </w:t>
      </w:r>
      <w:r>
        <w:rPr>
          <w:rFonts w:ascii="Arial" w:cs="Arial" w:eastAsia="Arial" w:hAnsi="Arial"/>
          <w:i/>
          <w:iCs/>
          <w:sz w:val="22"/>
          <w:szCs w:val="22"/>
        </w:rPr>
        <w:t xml:space="preserve">Credit Card Fraud Detection, Apache Spark, PySpark, Gradient Boosted Trees, SMOTE, Big Data, Machine Learning, Real-Time Scoring, Streamlit</w:t>
      </w:r>
    </w:p>
    <w:p>
      <w:pPr>
        <w:spacing w:before="80" w:after="80"/>
      </w:pPr>
      <w:r>
        <w:t xml:space="preserve"/>
      </w:r>
    </w:p>
    <w:p>
      <w:r>
        <w:br w:type="page"/>
      </w:r>
    </w:p>
    <w:p>
      <w:pPr>
        <w:pStyle w:val="Heading1"/>
        <w:spacing w:before="360" w:after="200"/>
      </w:pPr>
      <w:r>
        <w:rPr>
          <w:rFonts w:ascii="Arial" w:cs="Arial" w:eastAsia="Arial" w:hAnsi="Arial"/>
          <w:b/>
          <w:bCs/>
          <w:color w:val="1F3864"/>
          <w:sz w:val="32"/>
          <w:szCs w:val="32"/>
        </w:rPr>
        <w:t xml:space="preserve">1. Abstraction with Title</w:t>
      </w:r>
    </w:p>
    <w:p>
      <w:pPr>
        <w:pBdr>
          <w:bottom w:val="single" w:color="2E75B6" w:sz="6" w:space="1"/>
        </w:pBdr>
        <w:spacing w:before="100" w:after="100"/>
      </w:pPr>
      <w:r>
        <w:t xml:space="preserve"/>
      </w:r>
    </w:p>
    <w:p>
      <w:pPr>
        <w:pStyle w:val="Heading2"/>
        <w:spacing w:before="280" w:after="140"/>
      </w:pPr>
      <w:r>
        <w:rPr>
          <w:rFonts w:ascii="Arial" w:cs="Arial" w:eastAsia="Arial" w:hAnsi="Arial"/>
          <w:b/>
          <w:bCs/>
          <w:color w:val="2E75B6"/>
          <w:sz w:val="26"/>
          <w:szCs w:val="26"/>
        </w:rPr>
        <w:t xml:space="preserve">1.1 Project Title</w:t>
      </w:r>
    </w:p>
    <w:p>
      <w:pPr>
        <w:spacing w:before="100" w:after="100" w:line="320"/>
        <w:jc w:val="both"/>
      </w:pPr>
      <w:r>
        <w:rPr>
          <w:rFonts w:ascii="Arial" w:cs="Arial" w:eastAsia="Arial" w:hAnsi="Arial"/>
          <w:sz w:val="22"/>
          <w:szCs w:val="22"/>
        </w:rPr>
        <w:t xml:space="preserve">FraudShield: A Big Data-Driven Real-Time Credit Card Fraud Detection System Using Apache Spark MLlib and Gradient Boosted Trees</w:t>
      </w:r>
    </w:p>
    <w:p>
      <w:pPr>
        <w:spacing w:before="80" w:after="80"/>
      </w:pPr>
      <w:r>
        <w:t xml:space="preserve"/>
      </w:r>
    </w:p>
    <w:p>
      <w:pPr>
        <w:pStyle w:val="Heading2"/>
        <w:spacing w:before="280" w:after="140"/>
      </w:pPr>
      <w:r>
        <w:rPr>
          <w:rFonts w:ascii="Arial" w:cs="Arial" w:eastAsia="Arial" w:hAnsi="Arial"/>
          <w:b/>
          <w:bCs/>
          <w:color w:val="2E75B6"/>
          <w:sz w:val="26"/>
          <w:szCs w:val="26"/>
        </w:rPr>
        <w:t xml:space="preserve">1.2 Problem Statement</w:t>
      </w:r>
    </w:p>
    <w:p>
      <w:pPr>
        <w:spacing w:before="100" w:after="100" w:line="320"/>
        <w:jc w:val="both"/>
      </w:pPr>
      <w:r>
        <w:rPr>
          <w:rFonts w:ascii="Arial" w:cs="Arial" w:eastAsia="Arial" w:hAnsi="Arial"/>
          <w:sz w:val="22"/>
          <w:szCs w:val="22"/>
        </w:rPr>
        <w:t xml:space="preserve">Financial fraud detection in large-scale transaction environments presents two fundamental challenges: (1) processing millions of transactions at high velocity with low latency, and (2) identifying extremely rare fraudulent events within a heavily imbalanced dataset. Existing systems often rely on static rule-based engines that fail to adapt to evolving fraud patterns, or lightweight models that cannot scale to Big Data volumes.</w:t>
      </w:r>
    </w:p>
    <w:p>
      <w:pPr>
        <w:spacing w:before="80" w:after="80"/>
      </w:pPr>
      <w:r>
        <w:t xml:space="preserve"/>
      </w:r>
    </w:p>
    <w:p>
      <w:pPr>
        <w:pStyle w:val="Heading2"/>
        <w:spacing w:before="280" w:after="140"/>
      </w:pPr>
      <w:r>
        <w:rPr>
          <w:rFonts w:ascii="Arial" w:cs="Arial" w:eastAsia="Arial" w:hAnsi="Arial"/>
          <w:b/>
          <w:bCs/>
          <w:color w:val="2E75B6"/>
          <w:sz w:val="26"/>
          <w:szCs w:val="26"/>
        </w:rPr>
        <w:t xml:space="preserve">1.3 Proposed Solution Overview</w:t>
      </w:r>
    </w:p>
    <w:p>
      <w:pPr>
        <w:spacing w:before="100" w:after="100" w:line="320"/>
        <w:jc w:val="both"/>
      </w:pPr>
      <w:r>
        <w:rPr>
          <w:rFonts w:ascii="Arial" w:cs="Arial" w:eastAsia="Arial" w:hAnsi="Arial"/>
          <w:sz w:val="22"/>
          <w:szCs w:val="22"/>
        </w:rPr>
        <w:t xml:space="preserve">FraudShield addresses these challenges through a complete end-to-end pipeline built on distributed computing principles. The system ingests raw transaction data via Apache Spark, performs feature engineering and class balancing, trains ensemble ML models at scale, and deploys a real-time scoring engine through an interactive web interface. The abstraction of the system can be summarized as follows: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bCs/>
                <w:color w:val="000000"/>
                <w:sz w:val="20"/>
                <w:szCs w:val="20"/>
              </w:rPr>
              <w:t xml:space="preserve">Input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Raw transaction CSV with Time, V1-V28 PCA features, Amount, Class</w:t>
            </w:r>
          </w:p>
        </w:tc>
      </w:tr>
      <w:tr>
        <w:tc>
          <w:tcPr>
            <w:tcW w:type="dxa" w:w="30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bCs/>
                <w:color w:val="000000"/>
                <w:sz w:val="20"/>
                <w:szCs w:val="20"/>
              </w:rPr>
              <w:t xml:space="preserve">Processing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PySpark distributed pipeline with feature engineering</w:t>
            </w:r>
          </w:p>
        </w:tc>
      </w:tr>
      <w:tr>
        <w:tc>
          <w:tcPr>
            <w:tcW w:type="dxa" w:w="30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bCs/>
                <w:color w:val="000000"/>
                <w:sz w:val="20"/>
                <w:szCs w:val="20"/>
              </w:rPr>
              <w:t xml:space="preserve">Balancing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SMOTE + Random Undersampling (0.231% → 20% fraud rate)</w:t>
            </w:r>
          </w:p>
        </w:tc>
      </w:tr>
      <w:tr>
        <w:tc>
          <w:tcPr>
            <w:tcW w:type="dxa" w:w="30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bCs/>
                <w:color w:val="000000"/>
                <w:sz w:val="20"/>
                <w:szCs w:val="20"/>
              </w:rPr>
              <w:t xml:space="preserve">Models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Random Forest (100 trees) &amp; GBT (50 iterations)</w:t>
            </w:r>
          </w:p>
        </w:tc>
      </w:tr>
      <w:tr>
        <w:tc>
          <w:tcPr>
            <w:tcW w:type="dxa" w:w="30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bCs/>
                <w:color w:val="000000"/>
                <w:sz w:val="20"/>
                <w:szCs w:val="20"/>
              </w:rPr>
              <w:t xml:space="preserve">Output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Risk Score 0-100, Risk Level, Decision per transaction</w:t>
            </w:r>
          </w:p>
        </w:tc>
      </w:tr>
      <w:tr>
        <w:tc>
          <w:tcPr>
            <w:tcW w:type="dxa" w:w="3000"/>
            <w:tcBorders>
              <w:top w:val="single" w:color="CCCCCC" w:sz="1"/>
              <w:left w:val="single" w:color="CCCCCC" w:sz="1"/>
              <w:bottom w:val="single" w:color="CCCCCC" w:sz="1"/>
              <w:right w:val="single" w:color="CCCCCC" w:sz="1"/>
            </w:tcBorders>
            <w:shd w:fill="F5F8FF" w:val="clear"/>
            <w:tcMar>
              <w:top w:type="dxa" w:w="100"/>
              <w:left w:type="dxa" w:w="150"/>
              <w:bottom w:type="dxa" w:w="100"/>
              <w:right w:type="dxa" w:w="150"/>
            </w:tcMar>
          </w:tcPr>
          <w:p>
            <w:r>
              <w:rPr>
                <w:rFonts w:ascii="Arial" w:cs="Arial" w:eastAsia="Arial" w:hAnsi="Arial"/>
                <w:b/>
                <w:bCs/>
                <w:color w:val="000000"/>
                <w:sz w:val="20"/>
                <w:szCs w:val="20"/>
              </w:rPr>
              <w:t xml:space="preserve">Deployment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Streamlit web app with real-time scoring and analytics</w:t>
            </w:r>
          </w:p>
        </w:tc>
      </w:tr>
    </w:tbl>
    <w:p>
      <w:pPr>
        <w:spacing w:before="80" w:after="80"/>
      </w:pPr>
      <w:r>
        <w:t xml:space="preserve"/>
      </w:r>
    </w:p>
    <w:p>
      <w:r>
        <w:br w:type="page"/>
      </w:r>
    </w:p>
    <w:p>
      <w:pPr>
        <w:pStyle w:val="Heading1"/>
        <w:spacing w:before="360" w:after="200"/>
      </w:pPr>
      <w:r>
        <w:rPr>
          <w:rFonts w:ascii="Arial" w:cs="Arial" w:eastAsia="Arial" w:hAnsi="Arial"/>
          <w:b/>
          <w:bCs/>
          <w:color w:val="1F3864"/>
          <w:sz w:val="32"/>
          <w:szCs w:val="32"/>
        </w:rPr>
        <w:t xml:space="preserve">2. Existing System</w:t>
      </w:r>
    </w:p>
    <w:p>
      <w:pPr>
        <w:pBdr>
          <w:bottom w:val="single" w:color="2E75B6" w:sz="6" w:space="1"/>
        </w:pBdr>
        <w:spacing w:before="100" w:after="100"/>
      </w:pPr>
      <w:r>
        <w:t xml:space="preserve"/>
      </w:r>
    </w:p>
    <w:p>
      <w:pPr>
        <w:pStyle w:val="Heading2"/>
        <w:spacing w:before="280" w:after="140"/>
      </w:pPr>
      <w:r>
        <w:rPr>
          <w:rFonts w:ascii="Arial" w:cs="Arial" w:eastAsia="Arial" w:hAnsi="Arial"/>
          <w:b/>
          <w:bCs/>
          <w:color w:val="2E75B6"/>
          <w:sz w:val="26"/>
          <w:szCs w:val="26"/>
        </w:rPr>
        <w:t xml:space="preserve">2.1 Overview of Current Approaches</w:t>
      </w:r>
    </w:p>
    <w:p>
      <w:pPr>
        <w:spacing w:before="100" w:after="100" w:line="320"/>
        <w:jc w:val="both"/>
      </w:pPr>
      <w:r>
        <w:rPr>
          <w:rFonts w:ascii="Arial" w:cs="Arial" w:eastAsia="Arial" w:hAnsi="Arial"/>
          <w:sz w:val="22"/>
          <w:szCs w:val="22"/>
        </w:rPr>
        <w:t xml:space="preserve">Several approaches are currently used in the industry and academia for credit card fraud detection. These existing systems, while functional, present significant limitations when dealing with Big Data volumes and dynamic fraud patterns.</w:t>
      </w:r>
    </w:p>
    <w:p>
      <w:pPr>
        <w:spacing w:before="80" w:after="80"/>
      </w:pPr>
      <w:r>
        <w:t xml:space="preserve"/>
      </w:r>
    </w:p>
    <w:p>
      <w:pPr>
        <w:pStyle w:val="Heading2"/>
        <w:spacing w:before="280" w:after="140"/>
      </w:pPr>
      <w:r>
        <w:rPr>
          <w:rFonts w:ascii="Arial" w:cs="Arial" w:eastAsia="Arial" w:hAnsi="Arial"/>
          <w:b/>
          <w:bCs/>
          <w:color w:val="2E75B6"/>
          <w:sz w:val="26"/>
          <w:szCs w:val="26"/>
        </w:rPr>
        <w:t xml:space="preserve">2.2 Rule-Based Systems</w:t>
      </w:r>
    </w:p>
    <w:p>
      <w:pPr>
        <w:spacing w:before="100" w:after="100" w:line="320"/>
        <w:jc w:val="both"/>
      </w:pPr>
      <w:r>
        <w:rPr>
          <w:rFonts w:ascii="Arial" w:cs="Arial" w:eastAsia="Arial" w:hAnsi="Arial"/>
          <w:sz w:val="22"/>
          <w:szCs w:val="22"/>
        </w:rPr>
        <w:t xml:space="preserve">Traditional fraud detection relies on manually crafted rules such as transaction velocity limits, geographic restrictions, and amount thresholds. These systems are fast and interpretable but require constant manual maintenance and fail to detect novel fraud patterns not covered by existing rules.</w:t>
      </w:r>
    </w:p>
    <w:p>
      <w:pPr>
        <w:spacing w:before="80" w:after="80"/>
      </w:pPr>
      <w:r>
        <w:t xml:space="preserve"/>
      </w:r>
    </w:p>
    <w:p>
      <w:pPr>
        <w:pStyle w:val="Heading2"/>
        <w:spacing w:before="280" w:after="140"/>
      </w:pPr>
      <w:r>
        <w:rPr>
          <w:rFonts w:ascii="Arial" w:cs="Arial" w:eastAsia="Arial" w:hAnsi="Arial"/>
          <w:b/>
          <w:bCs/>
          <w:color w:val="2E75B6"/>
          <w:sz w:val="26"/>
          <w:szCs w:val="26"/>
        </w:rPr>
        <w:t xml:space="preserve">2.3 Conventional Machine Learning Approaches</w:t>
      </w:r>
    </w:p>
    <w:p>
      <w:pPr>
        <w:spacing w:before="100" w:after="100" w:line="320"/>
        <w:jc w:val="both"/>
      </w:pPr>
      <w:r>
        <w:rPr>
          <w:rFonts w:ascii="Arial" w:cs="Arial" w:eastAsia="Arial" w:hAnsi="Arial"/>
          <w:sz w:val="22"/>
          <w:szCs w:val="22"/>
        </w:rPr>
        <w:t xml:space="preserve">Prior academic and industry work has explored various ML approaches for fraud detection:</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Logistic Regression: Simple, interpretable but poor performance on non-linear fraud patterns</w:t>
      </w:r>
    </w:p>
    <w:p>
      <w:pPr>
        <w:pStyle w:val="ListParagraph"/>
        <w:numPr>
          <w:ilvl w:val="0"/>
          <w:numId w:val="2"/>
        </w:numPr>
        <w:spacing w:before="60" w:after="60"/>
      </w:pPr>
      <w:r>
        <w:rPr>
          <w:rFonts w:ascii="Arial" w:cs="Arial" w:eastAsia="Arial" w:hAnsi="Arial"/>
          <w:sz w:val="22"/>
          <w:szCs w:val="22"/>
        </w:rPr>
        <w:t xml:space="preserve">Decision Trees: Prone to overfitting on imbalanced datasets without careful tuning</w:t>
      </w:r>
    </w:p>
    <w:p>
      <w:pPr>
        <w:pStyle w:val="ListParagraph"/>
        <w:numPr>
          <w:ilvl w:val="0"/>
          <w:numId w:val="2"/>
        </w:numPr>
        <w:spacing w:before="60" w:after="60"/>
      </w:pPr>
      <w:r>
        <w:rPr>
          <w:rFonts w:ascii="Arial" w:cs="Arial" w:eastAsia="Arial" w:hAnsi="Arial"/>
          <w:sz w:val="22"/>
          <w:szCs w:val="22"/>
        </w:rPr>
        <w:t xml:space="preserve">Support Vector Machines (SVM): Computationally expensive on large datasets, not suitable for real-time scoring</w:t>
      </w:r>
    </w:p>
    <w:p>
      <w:pPr>
        <w:pStyle w:val="ListParagraph"/>
        <w:numPr>
          <w:ilvl w:val="0"/>
          <w:numId w:val="2"/>
        </w:numPr>
        <w:spacing w:before="60" w:after="60"/>
      </w:pPr>
      <w:r>
        <w:rPr>
          <w:rFonts w:ascii="Arial" w:cs="Arial" w:eastAsia="Arial" w:hAnsi="Arial"/>
          <w:sz w:val="22"/>
          <w:szCs w:val="22"/>
        </w:rPr>
        <w:t xml:space="preserve">Naive Bayes: Assumes feature independence, which does not hold for correlated PCA features</w:t>
      </w:r>
    </w:p>
    <w:p>
      <w:pPr>
        <w:pStyle w:val="ListParagraph"/>
        <w:numPr>
          <w:ilvl w:val="0"/>
          <w:numId w:val="2"/>
        </w:numPr>
        <w:spacing w:before="60" w:after="60"/>
      </w:pPr>
      <w:r>
        <w:rPr>
          <w:rFonts w:ascii="Arial" w:cs="Arial" w:eastAsia="Arial" w:hAnsi="Arial"/>
          <w:sz w:val="22"/>
          <w:szCs w:val="22"/>
        </w:rPr>
        <w:t xml:space="preserve">Isolation Forest: Effective for anomaly detection but lacks probability calibration for risk scoring</w:t>
      </w:r>
    </w:p>
    <w:p>
      <w:pPr>
        <w:spacing w:before="80" w:after="80"/>
      </w:pPr>
      <w:r>
        <w:t xml:space="preserve"/>
      </w:r>
    </w:p>
    <w:p>
      <w:pPr>
        <w:pStyle w:val="Heading2"/>
        <w:spacing w:before="280" w:after="140"/>
      </w:pPr>
      <w:r>
        <w:rPr>
          <w:rFonts w:ascii="Arial" w:cs="Arial" w:eastAsia="Arial" w:hAnsi="Arial"/>
          <w:b/>
          <w:bCs/>
          <w:color w:val="2E75B6"/>
          <w:sz w:val="26"/>
          <w:szCs w:val="26"/>
        </w:rPr>
        <w:t xml:space="preserve">2.4 Limitations of Existing Systems</w:t>
      </w:r>
    </w:p>
    <w:p>
      <w:pPr>
        <w:spacing w:before="100" w:after="100" w:line="320"/>
        <w:jc w:val="both"/>
      </w:pPr>
      <w:r>
        <w:rPr>
          <w:rFonts w:ascii="Arial" w:cs="Arial" w:eastAsia="Arial" w:hAnsi="Arial"/>
          <w:sz w:val="22"/>
          <w:szCs w:val="22"/>
        </w:rPr>
        <w:t xml:space="preserve">The key drawbacks of existing approaches are:</w:t>
      </w:r>
    </w:p>
    <w:p>
      <w:pPr>
        <w:spacing w:before="80" w:after="80"/>
      </w:pPr>
      <w:r>
        <w:t xml:space="preserve"/>
      </w:r>
    </w:p>
    <w:p>
      <w:pPr>
        <w:pStyle w:val="ListParagraph"/>
        <w:numPr>
          <w:ilvl w:val="0"/>
          <w:numId w:val="3"/>
        </w:numPr>
        <w:spacing w:before="60" w:after="60"/>
      </w:pPr>
      <w:r>
        <w:rPr>
          <w:rFonts w:ascii="Arial" w:cs="Arial" w:eastAsia="Arial" w:hAnsi="Arial"/>
          <w:sz w:val="22"/>
          <w:szCs w:val="22"/>
        </w:rPr>
        <w:t xml:space="preserve">Scalability: Most traditional ML frameworks (scikit-learn, single-node implementations) cannot handle millions of transactions in distributed environments</w:t>
      </w:r>
    </w:p>
    <w:p>
      <w:pPr>
        <w:pStyle w:val="ListParagraph"/>
        <w:numPr>
          <w:ilvl w:val="0"/>
          <w:numId w:val="3"/>
        </w:numPr>
        <w:spacing w:before="60" w:after="60"/>
      </w:pPr>
      <w:r>
        <w:rPr>
          <w:rFonts w:ascii="Arial" w:cs="Arial" w:eastAsia="Arial" w:hAnsi="Arial"/>
          <w:sz w:val="22"/>
          <w:szCs w:val="22"/>
        </w:rPr>
        <w:t xml:space="preserve">Class Imbalance: Existing systems often ignore or inadequately handle the severe imbalance (0.231% fraud rate), leading to biased models</w:t>
      </w:r>
    </w:p>
    <w:p>
      <w:pPr>
        <w:pStyle w:val="ListParagraph"/>
        <w:numPr>
          <w:ilvl w:val="0"/>
          <w:numId w:val="3"/>
        </w:numPr>
        <w:spacing w:before="60" w:after="60"/>
      </w:pPr>
      <w:r>
        <w:rPr>
          <w:rFonts w:ascii="Arial" w:cs="Arial" w:eastAsia="Arial" w:hAnsi="Arial"/>
          <w:sz w:val="22"/>
          <w:szCs w:val="22"/>
        </w:rPr>
        <w:t xml:space="preserve">Static Rules: Rule-based systems cannot adapt to evolving fraud patterns without manual intervention</w:t>
      </w:r>
    </w:p>
    <w:p>
      <w:pPr>
        <w:pStyle w:val="ListParagraph"/>
        <w:numPr>
          <w:ilvl w:val="0"/>
          <w:numId w:val="3"/>
        </w:numPr>
        <w:spacing w:before="60" w:after="60"/>
      </w:pPr>
      <w:r>
        <w:rPr>
          <w:rFonts w:ascii="Arial" w:cs="Arial" w:eastAsia="Arial" w:hAnsi="Arial"/>
          <w:sz w:val="22"/>
          <w:szCs w:val="22"/>
        </w:rPr>
        <w:t xml:space="preserve">No Real-Time Interface: Most research implementations lack a deployable, user-facing interface for practical use</w:t>
      </w:r>
    </w:p>
    <w:p>
      <w:pPr>
        <w:pStyle w:val="ListParagraph"/>
        <w:numPr>
          <w:ilvl w:val="0"/>
          <w:numId w:val="3"/>
        </w:numPr>
        <w:spacing w:before="60" w:after="60"/>
      </w:pPr>
      <w:r>
        <w:rPr>
          <w:rFonts w:ascii="Arial" w:cs="Arial" w:eastAsia="Arial" w:hAnsi="Arial"/>
          <w:sz w:val="22"/>
          <w:szCs w:val="22"/>
        </w:rPr>
        <w:t xml:space="preserve">Feature Engineering: Existing systems rarely engineer behavioral features such as cyclic time encoding or high-value flags</w:t>
      </w:r>
    </w:p>
    <w:p>
      <w:pPr>
        <w:spacing w:before="80" w:after="80"/>
      </w:pPr>
      <w:r>
        <w:t xml:space="preserve"/>
      </w:r>
    </w:p>
    <w:p>
      <w:r>
        <w:br w:type="page"/>
      </w:r>
    </w:p>
    <w:p>
      <w:pPr>
        <w:pStyle w:val="Heading1"/>
        <w:spacing w:before="360" w:after="200"/>
      </w:pPr>
      <w:r>
        <w:rPr>
          <w:rFonts w:ascii="Arial" w:cs="Arial" w:eastAsia="Arial" w:hAnsi="Arial"/>
          <w:b/>
          <w:bCs/>
          <w:color w:val="1F3864"/>
          <w:sz w:val="32"/>
          <w:szCs w:val="32"/>
        </w:rPr>
        <w:t xml:space="preserve">3. Proposed System</w:t>
      </w:r>
    </w:p>
    <w:p>
      <w:pPr>
        <w:pBdr>
          <w:bottom w:val="single" w:color="2E75B6" w:sz="6" w:space="1"/>
        </w:pBdr>
        <w:spacing w:before="100" w:after="100"/>
      </w:pPr>
      <w:r>
        <w:t xml:space="preserve"/>
      </w:r>
    </w:p>
    <w:p>
      <w:pPr>
        <w:pStyle w:val="Heading2"/>
        <w:spacing w:before="280" w:after="140"/>
      </w:pPr>
      <w:r>
        <w:rPr>
          <w:rFonts w:ascii="Arial" w:cs="Arial" w:eastAsia="Arial" w:hAnsi="Arial"/>
          <w:b/>
          <w:bCs/>
          <w:color w:val="2E75B6"/>
          <w:sz w:val="26"/>
          <w:szCs w:val="26"/>
        </w:rPr>
        <w:t xml:space="preserve">3.1 System Architecture</w:t>
      </w:r>
    </w:p>
    <w:p>
      <w:pPr>
        <w:spacing w:before="100" w:after="100" w:line="320"/>
        <w:jc w:val="both"/>
      </w:pPr>
      <w:r>
        <w:rPr>
          <w:rFonts w:ascii="Arial" w:cs="Arial" w:eastAsia="Arial" w:hAnsi="Arial"/>
          <w:sz w:val="22"/>
          <w:szCs w:val="22"/>
        </w:rPr>
        <w:t xml:space="preserve">FraudShield proposes a five-stage distributed pipeline that addresses all limitations of existing systems. The entire pipeline is implemented in PySpark, enabling horizontal scalability across a cluster.</w:t>
      </w:r>
    </w:p>
    <w:p>
      <w:pPr>
        <w:spacing w:before="80" w:after="80"/>
      </w:pPr>
      <w:r>
        <w:t xml:space="preserve"/>
      </w:r>
    </w:p>
    <w:p>
      <w:pPr>
        <w:pStyle w:val="Heading2"/>
        <w:spacing w:before="280" w:after="140"/>
      </w:pPr>
      <w:r>
        <w:rPr>
          <w:rFonts w:ascii="Arial" w:cs="Arial" w:eastAsia="Arial" w:hAnsi="Arial"/>
          <w:b/>
          <w:bCs/>
          <w:color w:val="2E75B6"/>
          <w:sz w:val="26"/>
          <w:szCs w:val="26"/>
        </w:rPr>
        <w:t xml:space="preserve">3.2 Pipeline Stages</w:t>
      </w:r>
    </w:p>
    <w:p>
      <w:pPr>
        <w:spacing w:before="80" w:after="80"/>
      </w:pPr>
      <w:r>
        <w:t xml:space="preserve"/>
      </w:r>
    </w:p>
    <w:p>
      <w:pPr>
        <w:spacing w:before="80" w:after="60"/>
      </w:pPr>
      <w:r>
        <w:rPr>
          <w:rFonts w:ascii="Arial" w:cs="Arial" w:eastAsia="Arial" w:hAnsi="Arial"/>
          <w:b/>
          <w:bCs/>
          <w:color w:val="1F3864"/>
          <w:sz w:val="22"/>
          <w:szCs w:val="22"/>
        </w:rPr>
        <w:t xml:space="preserve">Stage 1 — Data Ingestion</w:t>
      </w:r>
    </w:p>
    <w:p>
      <w:pPr>
        <w:spacing w:before="100" w:after="100" w:line="320"/>
        <w:jc w:val="both"/>
      </w:pPr>
      <w:r>
        <w:rPr>
          <w:rFonts w:ascii="Arial" w:cs="Arial" w:eastAsia="Arial" w:hAnsi="Arial"/>
          <w:sz w:val="22"/>
          <w:szCs w:val="22"/>
        </w:rPr>
        <w:t xml:space="preserve">Raw transaction data is ingested using Spark's distributed CSV reader into a Spark DataFrame. The dataset contains 284,807 transactions with 30 features (Time, V1–V28 PCA components, Amount) and a binary Class label.</w:t>
      </w:r>
    </w:p>
    <w:p>
      <w:pPr>
        <w:spacing w:before="80" w:after="80"/>
      </w:pPr>
      <w:r>
        <w:t xml:space="preserve"/>
      </w:r>
    </w:p>
    <w:p>
      <w:pPr>
        <w:spacing w:before="80" w:after="60"/>
      </w:pPr>
      <w:r>
        <w:rPr>
          <w:rFonts w:ascii="Arial" w:cs="Arial" w:eastAsia="Arial" w:hAnsi="Arial"/>
          <w:b/>
          <w:bCs/>
          <w:color w:val="1F3864"/>
          <w:sz w:val="22"/>
          <w:szCs w:val="22"/>
        </w:rPr>
        <w:t xml:space="preserve">Stage 2 — Feature Engineering</w:t>
      </w:r>
    </w:p>
    <w:p>
      <w:pPr>
        <w:spacing w:before="100" w:after="100" w:line="320"/>
        <w:jc w:val="both"/>
      </w:pPr>
      <w:r>
        <w:rPr>
          <w:rFonts w:ascii="Arial" w:cs="Arial" w:eastAsia="Arial" w:hAnsi="Arial"/>
          <w:sz w:val="22"/>
          <w:szCs w:val="22"/>
        </w:rPr>
        <w:t xml:space="preserve">Six domain-specific features are engineered to improve model discriminability:</w:t>
      </w:r>
    </w:p>
    <w:p>
      <w:pPr>
        <w:pStyle w:val="ListParagraph"/>
        <w:numPr>
          <w:ilvl w:val="0"/>
          <w:numId w:val="2"/>
        </w:numPr>
        <w:spacing w:before="60" w:after="60"/>
      </w:pPr>
      <w:r>
        <w:rPr>
          <w:rFonts w:ascii="Arial" w:cs="Arial" w:eastAsia="Arial" w:hAnsi="Arial"/>
          <w:sz w:val="22"/>
          <w:szCs w:val="22"/>
        </w:rPr>
        <w:t xml:space="preserve">Amount_normalized: Z-score normalization of transaction amount</w:t>
      </w:r>
    </w:p>
    <w:p>
      <w:pPr>
        <w:pStyle w:val="ListParagraph"/>
        <w:numPr>
          <w:ilvl w:val="0"/>
          <w:numId w:val="2"/>
        </w:numPr>
        <w:spacing w:before="60" w:after="60"/>
      </w:pPr>
      <w:r>
        <w:rPr>
          <w:rFonts w:ascii="Arial" w:cs="Arial" w:eastAsia="Arial" w:hAnsi="Arial"/>
          <w:sz w:val="22"/>
          <w:szCs w:val="22"/>
        </w:rPr>
        <w:t xml:space="preserve">Time_normalized: Time scaled to [0,1] range across the full dataset</w:t>
      </w:r>
    </w:p>
    <w:p>
      <w:pPr>
        <w:pStyle w:val="ListParagraph"/>
        <w:numPr>
          <w:ilvl w:val="0"/>
          <w:numId w:val="2"/>
        </w:numPr>
        <w:spacing w:before="60" w:after="60"/>
      </w:pPr>
      <w:r>
        <w:rPr>
          <w:rFonts w:ascii="Arial" w:cs="Arial" w:eastAsia="Arial" w:hAnsi="Arial"/>
          <w:sz w:val="22"/>
          <w:szCs w:val="22"/>
        </w:rPr>
        <w:t xml:space="preserve">hour_sin / hour_cos: Cyclic sine-cosine encoding of transaction hour to capture daily patterns</w:t>
      </w:r>
    </w:p>
    <w:p>
      <w:pPr>
        <w:pStyle w:val="ListParagraph"/>
        <w:numPr>
          <w:ilvl w:val="0"/>
          <w:numId w:val="2"/>
        </w:numPr>
        <w:spacing w:before="60" w:after="60"/>
      </w:pPr>
      <w:r>
        <w:rPr>
          <w:rFonts w:ascii="Arial" w:cs="Arial" w:eastAsia="Arial" w:hAnsi="Arial"/>
          <w:sz w:val="22"/>
          <w:szCs w:val="22"/>
        </w:rPr>
        <w:t xml:space="preserve">amount_zscore: Absolute z-score to flag anomalous transaction amounts</w:t>
      </w:r>
    </w:p>
    <w:p>
      <w:pPr>
        <w:pStyle w:val="ListParagraph"/>
        <w:numPr>
          <w:ilvl w:val="0"/>
          <w:numId w:val="2"/>
        </w:numPr>
        <w:spacing w:before="60" w:after="60"/>
      </w:pPr>
      <w:r>
        <w:rPr>
          <w:rFonts w:ascii="Arial" w:cs="Arial" w:eastAsia="Arial" w:hAnsi="Arial"/>
          <w:sz w:val="22"/>
          <w:szCs w:val="22"/>
        </w:rPr>
        <w:t xml:space="preserve">is_high_value: Binary flag for transactions exceeding the 95th percentile amount</w:t>
      </w:r>
    </w:p>
    <w:p>
      <w:pPr>
        <w:spacing w:before="80" w:after="80"/>
      </w:pPr>
      <w:r>
        <w:t xml:space="preserve"/>
      </w:r>
    </w:p>
    <w:p>
      <w:pPr>
        <w:spacing w:before="80" w:after="60"/>
      </w:pPr>
      <w:r>
        <w:rPr>
          <w:rFonts w:ascii="Arial" w:cs="Arial" w:eastAsia="Arial" w:hAnsi="Arial"/>
          <w:b/>
          <w:bCs/>
          <w:color w:val="1F3864"/>
          <w:sz w:val="22"/>
          <w:szCs w:val="22"/>
        </w:rPr>
        <w:t xml:space="preserve">Stage 3 — Class Balancing (SMOTE)</w:t>
      </w:r>
    </w:p>
    <w:p>
      <w:pPr>
        <w:spacing w:before="100" w:after="100" w:line="320"/>
        <w:jc w:val="both"/>
      </w:pPr>
      <w:r>
        <w:rPr>
          <w:rFonts w:ascii="Arial" w:cs="Arial" w:eastAsia="Arial" w:hAnsi="Arial"/>
          <w:sz w:val="22"/>
          <w:szCs w:val="22"/>
        </w:rPr>
        <w:t xml:space="preserve">The severe class imbalance (0.231% fraud rate, 211 fraud cases out of 91,200 transactions) is addressed using a two-step resampling pipeline: SMOTE oversampling (strategy 0.1) followed by Random Undersampling (strategy 0.25), producing a balanced dataset with 20% fraud rate and 45,490 total records.</w:t>
      </w:r>
    </w:p>
    <w:p>
      <w:pPr>
        <w:spacing w:before="80" w:after="80"/>
      </w:pPr>
      <w:r>
        <w:t xml:space="preserve"/>
      </w:r>
    </w:p>
    <w:p>
      <w:pPr>
        <w:spacing w:before="80" w:after="60"/>
      </w:pPr>
      <w:r>
        <w:rPr>
          <w:rFonts w:ascii="Arial" w:cs="Arial" w:eastAsia="Arial" w:hAnsi="Arial"/>
          <w:b/>
          <w:bCs/>
          <w:color w:val="1F3864"/>
          <w:sz w:val="22"/>
          <w:szCs w:val="22"/>
        </w:rPr>
        <w:t xml:space="preserve">Stage 4 — Model Training</w:t>
      </w:r>
    </w:p>
    <w:p>
      <w:pPr>
        <w:spacing w:before="100" w:after="100" w:line="320"/>
        <w:jc w:val="both"/>
      </w:pPr>
      <w:r>
        <w:rPr>
          <w:rFonts w:ascii="Arial" w:cs="Arial" w:eastAsia="Arial" w:hAnsi="Arial"/>
          <w:sz w:val="22"/>
          <w:szCs w:val="22"/>
        </w:rPr>
        <w:t xml:space="preserve">Two Spark MLlib ensemble models are trained and compared using an 80/20 train-test split: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Random Forest</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GBT (Selected)</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Winner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ROC-AUC</w:t>
            </w:r>
          </w:p>
        </w:tc>
        <w:tc>
          <w:tcPr>
            <w:tcW w:type="dxa" w:w="25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sz w:val="20"/>
                <w:szCs w:val="20"/>
              </w:rPr>
              <w:t xml:space="preserve">0.9999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0.9993</w:t>
            </w:r>
          </w:p>
        </w:tc>
        <w:tc>
          <w:tcPr>
            <w:tcW w:type="dxa" w:w="236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sz w:val="20"/>
                <w:szCs w:val="20"/>
              </w:rPr>
              <w:t xml:space="preserve">RF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Accuracy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99.44%</w:t>
            </w:r>
          </w:p>
        </w:tc>
        <w:tc>
          <w:tcPr>
            <w:tcW w:type="dxa" w:w="25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sz w:val="20"/>
                <w:szCs w:val="20"/>
              </w:rPr>
              <w:t xml:space="preserve">99.75%</w:t>
            </w:r>
          </w:p>
        </w:tc>
        <w:tc>
          <w:tcPr>
            <w:tcW w:type="dxa" w:w="236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sz w:val="20"/>
                <w:szCs w:val="20"/>
              </w:rPr>
              <w:t xml:space="preserve">GBT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F1-Score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0.9944</w:t>
            </w:r>
          </w:p>
        </w:tc>
        <w:tc>
          <w:tcPr>
            <w:tcW w:type="dxa" w:w="25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sz w:val="20"/>
                <w:szCs w:val="20"/>
              </w:rPr>
              <w:t xml:space="preserve">0.9975</w:t>
            </w:r>
          </w:p>
        </w:tc>
        <w:tc>
          <w:tcPr>
            <w:tcW w:type="dxa" w:w="236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sz w:val="20"/>
                <w:szCs w:val="20"/>
              </w:rPr>
              <w:t xml:space="preserve">GBT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Precision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0.9944</w:t>
            </w:r>
          </w:p>
        </w:tc>
        <w:tc>
          <w:tcPr>
            <w:tcW w:type="dxa" w:w="25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sz w:val="20"/>
                <w:szCs w:val="20"/>
              </w:rPr>
              <w:t xml:space="preserve">0.9975</w:t>
            </w:r>
          </w:p>
        </w:tc>
        <w:tc>
          <w:tcPr>
            <w:tcW w:type="dxa" w:w="236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sz w:val="20"/>
                <w:szCs w:val="20"/>
              </w:rPr>
              <w:t xml:space="preserve">GBT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Recall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0.9944</w:t>
            </w:r>
          </w:p>
        </w:tc>
        <w:tc>
          <w:tcPr>
            <w:tcW w:type="dxa" w:w="25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sz w:val="20"/>
                <w:szCs w:val="20"/>
              </w:rPr>
              <w:t xml:space="preserve">0.9975</w:t>
            </w:r>
          </w:p>
        </w:tc>
        <w:tc>
          <w:tcPr>
            <w:tcW w:type="dxa" w:w="236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sz w:val="20"/>
                <w:szCs w:val="20"/>
              </w:rPr>
              <w:t xml:space="preserve">GBT</w:t>
            </w:r>
          </w:p>
        </w:tc>
      </w:tr>
    </w:tbl>
    <w:p>
      <w:pPr>
        <w:spacing w:before="80" w:after="80"/>
      </w:pPr>
      <w:r>
        <w:t xml:space="preserve"/>
      </w:r>
    </w:p>
    <w:p>
      <w:pPr>
        <w:spacing w:before="80" w:after="60"/>
      </w:pPr>
      <w:r>
        <w:rPr>
          <w:rFonts w:ascii="Arial" w:cs="Arial" w:eastAsia="Arial" w:hAnsi="Arial"/>
          <w:b/>
          <w:bCs/>
          <w:color w:val="1F3864"/>
          <w:sz w:val="22"/>
          <w:szCs w:val="22"/>
        </w:rPr>
        <w:t xml:space="preserve">Stage 5 — Scoring Engine &amp; Deployment</w:t>
      </w:r>
    </w:p>
    <w:p>
      <w:pPr>
        <w:spacing w:before="100" w:after="100" w:line="320"/>
        <w:jc w:val="both"/>
      </w:pPr>
      <w:r>
        <w:rPr>
          <w:rFonts w:ascii="Arial" w:cs="Arial" w:eastAsia="Arial" w:hAnsi="Arial"/>
          <w:sz w:val="22"/>
          <w:szCs w:val="22"/>
        </w:rPr>
        <w:t xml:space="preserve">The GBT model scores each transaction with a fraud probability (0.0–1.0), converted to a 0–100 risk score. Transactions are classified into four risk levels: LOW (0–30, APPROVED), MEDIUM (31–55, MONITOR), HIGH (56–75, REVIEW), and CRITICAL (76–100, BLOCKED). The scoring engine is deployed as a Streamlit web application.</w:t>
      </w:r>
    </w:p>
    <w:p>
      <w:pPr>
        <w:spacing w:before="80" w:after="80"/>
      </w:pPr>
      <w:r>
        <w:t xml:space="preserve"/>
      </w:r>
    </w:p>
    <w:p>
      <w:pPr>
        <w:pStyle w:val="Heading2"/>
        <w:spacing w:before="280" w:after="140"/>
      </w:pPr>
      <w:r>
        <w:rPr>
          <w:rFonts w:ascii="Arial" w:cs="Arial" w:eastAsia="Arial" w:hAnsi="Arial"/>
          <w:b/>
          <w:bCs/>
          <w:color w:val="2E75B6"/>
          <w:sz w:val="26"/>
          <w:szCs w:val="26"/>
        </w:rPr>
        <w:t xml:space="preserve">3.3 Advantages of Proposed System</w:t>
      </w:r>
    </w:p>
    <w:p>
      <w:pPr>
        <w:pStyle w:val="ListParagraph"/>
        <w:numPr>
          <w:ilvl w:val="0"/>
          <w:numId w:val="2"/>
        </w:numPr>
        <w:spacing w:before="60" w:after="60"/>
      </w:pPr>
      <w:r>
        <w:rPr>
          <w:rFonts w:ascii="Arial" w:cs="Arial" w:eastAsia="Arial" w:hAnsi="Arial"/>
          <w:sz w:val="22"/>
          <w:szCs w:val="22"/>
        </w:rPr>
        <w:t xml:space="preserve">Fully scalable — built on Apache Spark for distributed processing</w:t>
      </w:r>
    </w:p>
    <w:p>
      <w:pPr>
        <w:pStyle w:val="ListParagraph"/>
        <w:numPr>
          <w:ilvl w:val="0"/>
          <w:numId w:val="2"/>
        </w:numPr>
        <w:spacing w:before="60" w:after="60"/>
      </w:pPr>
      <w:r>
        <w:rPr>
          <w:rFonts w:ascii="Arial" w:cs="Arial" w:eastAsia="Arial" w:hAnsi="Arial"/>
          <w:sz w:val="22"/>
          <w:szCs w:val="22"/>
        </w:rPr>
        <w:t xml:space="preserve">Handles class imbalance via hybrid SMOTE + undersampling strategy</w:t>
      </w:r>
    </w:p>
    <w:p>
      <w:pPr>
        <w:pStyle w:val="ListParagraph"/>
        <w:numPr>
          <w:ilvl w:val="0"/>
          <w:numId w:val="2"/>
        </w:numPr>
        <w:spacing w:before="60" w:after="60"/>
      </w:pPr>
      <w:r>
        <w:rPr>
          <w:rFonts w:ascii="Arial" w:cs="Arial" w:eastAsia="Arial" w:hAnsi="Arial"/>
          <w:sz w:val="22"/>
          <w:szCs w:val="22"/>
        </w:rPr>
        <w:t xml:space="preserve">Interpretable risk scoring (0–100) with four actionable decision levels</w:t>
      </w:r>
    </w:p>
    <w:p>
      <w:pPr>
        <w:pStyle w:val="ListParagraph"/>
        <w:numPr>
          <w:ilvl w:val="0"/>
          <w:numId w:val="2"/>
        </w:numPr>
        <w:spacing w:before="60" w:after="60"/>
      </w:pPr>
      <w:r>
        <w:rPr>
          <w:rFonts w:ascii="Arial" w:cs="Arial" w:eastAsia="Arial" w:hAnsi="Arial"/>
          <w:sz w:val="22"/>
          <w:szCs w:val="22"/>
        </w:rPr>
        <w:t xml:space="preserve">Real-time interactive web interface via Streamlit</w:t>
      </w:r>
    </w:p>
    <w:p>
      <w:pPr>
        <w:pStyle w:val="ListParagraph"/>
        <w:numPr>
          <w:ilvl w:val="0"/>
          <w:numId w:val="2"/>
        </w:numPr>
        <w:spacing w:before="60" w:after="60"/>
      </w:pPr>
      <w:r>
        <w:rPr>
          <w:rFonts w:ascii="Arial" w:cs="Arial" w:eastAsia="Arial" w:hAnsi="Arial"/>
          <w:sz w:val="22"/>
          <w:szCs w:val="22"/>
        </w:rPr>
        <w:t xml:space="preserve">No dependency on Hadoop/winutils — sklearn pickle deployment for portability</w:t>
      </w:r>
    </w:p>
    <w:p>
      <w:pPr>
        <w:pStyle w:val="ListParagraph"/>
        <w:numPr>
          <w:ilvl w:val="0"/>
          <w:numId w:val="2"/>
        </w:numPr>
        <w:spacing w:before="60" w:after="60"/>
      </w:pPr>
      <w:r>
        <w:rPr>
          <w:rFonts w:ascii="Arial" w:cs="Arial" w:eastAsia="Arial" w:hAnsi="Arial"/>
          <w:sz w:val="22"/>
          <w:szCs w:val="22"/>
        </w:rPr>
        <w:t xml:space="preserve">Supports CSV upload and scored results download</w:t>
      </w:r>
    </w:p>
    <w:p>
      <w:pPr>
        <w:spacing w:before="80" w:after="80"/>
      </w:pPr>
      <w:r>
        <w:t xml:space="preserve"/>
      </w:r>
    </w:p>
    <w:p>
      <w:r>
        <w:br w:type="page"/>
      </w:r>
    </w:p>
    <w:p>
      <w:pPr>
        <w:pStyle w:val="Heading1"/>
        <w:spacing w:before="360" w:after="200"/>
      </w:pPr>
      <w:r>
        <w:rPr>
          <w:rFonts w:ascii="Arial" w:cs="Arial" w:eastAsia="Arial" w:hAnsi="Arial"/>
          <w:b/>
          <w:bCs/>
          <w:color w:val="1F3864"/>
          <w:sz w:val="32"/>
          <w:szCs w:val="32"/>
        </w:rPr>
        <w:t xml:space="preserve">4. Literature Survey</w:t>
      </w:r>
    </w:p>
    <w:p>
      <w:pPr>
        <w:pBdr>
          <w:bottom w:val="single" w:color="2E75B6" w:sz="6" w:space="1"/>
        </w:pBdr>
        <w:spacing w:before="100" w:after="100"/>
      </w:pPr>
      <w:r>
        <w:t xml:space="preserve"/>
      </w:r>
    </w:p>
    <w:p>
      <w:pPr>
        <w:spacing w:before="100" w:after="100" w:line="320"/>
        <w:jc w:val="both"/>
      </w:pPr>
      <w:r>
        <w:rPr>
          <w:rFonts w:ascii="Arial" w:cs="Arial" w:eastAsia="Arial" w:hAnsi="Arial"/>
          <w:sz w:val="22"/>
          <w:szCs w:val="22"/>
        </w:rPr>
        <w:t xml:space="preserve">The following five recent papers form the foundation of this work, covering key themes of fraud detection, class imbalance handling, and Big Data ML pipelines.</w:t>
      </w:r>
    </w:p>
    <w:p>
      <w:pPr>
        <w:spacing w:before="80" w:after="80"/>
      </w:pPr>
      <w:r>
        <w:t xml:space="preserve"/>
      </w:r>
    </w:p>
    <w:p>
      <w:pPr>
        <w:pStyle w:val="Heading2"/>
        <w:spacing w:before="280" w:after="140"/>
      </w:pPr>
      <w:r>
        <w:rPr>
          <w:rFonts w:ascii="Arial" w:cs="Arial" w:eastAsia="Arial" w:hAnsi="Arial"/>
          <w:b/>
          <w:bCs/>
          <w:color w:val="2E75B6"/>
          <w:sz w:val="26"/>
          <w:szCs w:val="26"/>
        </w:rPr>
        <w:t xml:space="preserve">Paper 1</w:t>
      </w:r>
    </w:p>
    <w:p>
      <w:pPr>
        <w:spacing w:before="80" w:after="60"/>
      </w:pPr>
      <w:r>
        <w:rPr>
          <w:rFonts w:ascii="Arial" w:cs="Arial" w:eastAsia="Arial" w:hAnsi="Arial"/>
          <w:i/>
          <w:iCs/>
          <w:sz w:val="22"/>
          <w:szCs w:val="22"/>
        </w:rPr>
        <w:t xml:space="preserve">Thennakoon, A., Bhagyani, C., Premadasa, S., Mihiranga, S., &amp; Kuruwitaarachchi, N. (2019). Real-time credit card fraud detection using machine learning. </w:t>
      </w:r>
      <w:r>
        <w:rPr>
          <w:rFonts w:ascii="Arial" w:cs="Arial" w:eastAsia="Arial" w:hAnsi="Arial"/>
          <w:sz w:val="22"/>
          <w:szCs w:val="22"/>
        </w:rPr>
        <w:t xml:space="preserve">9th International Conference on Cloud Computing, Data Science &amp; Engineering (Confluence), IEEE.</w:t>
      </w:r>
    </w:p>
    <w:p>
      <w:pPr>
        <w:spacing w:before="100" w:after="100" w:line="320"/>
        <w:jc w:val="both"/>
      </w:pPr>
      <w:r>
        <w:rPr>
          <w:rFonts w:ascii="Arial" w:cs="Arial" w:eastAsia="Arial" w:hAnsi="Arial"/>
          <w:sz w:val="22"/>
          <w:szCs w:val="22"/>
        </w:rPr>
        <w:t xml:space="preserve">This paper proposes a real-time fraud detection system using Random Forest and compares it against Logistic Regression, K-Nearest Neighbors, and Naive Bayes. The authors demonstrate that Random Forest achieves the highest accuracy due to its ensemble nature and ability to handle feature correlations. Their work highlights the importance of real-time scoring latency, which directly motivated the scoring engine design in FraudShield. The study also identifies class imbalance as the primary challenge, which we address through SMOTE.</w:t>
      </w:r>
    </w:p>
    <w:p>
      <w:pPr>
        <w:spacing w:before="80" w:after="80"/>
      </w:pPr>
      <w:r>
        <w:t xml:space="preserve"/>
      </w:r>
    </w:p>
    <w:p>
      <w:pPr>
        <w:pStyle w:val="Heading2"/>
        <w:spacing w:before="280" w:after="140"/>
      </w:pPr>
      <w:r>
        <w:rPr>
          <w:rFonts w:ascii="Arial" w:cs="Arial" w:eastAsia="Arial" w:hAnsi="Arial"/>
          <w:b/>
          <w:bCs/>
          <w:color w:val="2E75B6"/>
          <w:sz w:val="26"/>
          <w:szCs w:val="26"/>
        </w:rPr>
        <w:t xml:space="preserve">Paper 2</w:t>
      </w:r>
    </w:p>
    <w:p>
      <w:pPr>
        <w:spacing w:before="80" w:after="60"/>
      </w:pPr>
      <w:r>
        <w:rPr>
          <w:rFonts w:ascii="Arial" w:cs="Arial" w:eastAsia="Arial" w:hAnsi="Arial"/>
          <w:i/>
          <w:iCs/>
          <w:sz w:val="22"/>
          <w:szCs w:val="22"/>
        </w:rPr>
        <w:t xml:space="preserve">Awoyemi, J. O., Adetunmbi, A. O., &amp; Oluwadare, S. A. (2017). Credit card fraud detection using machine learning techniques: A comparative analysis. </w:t>
      </w:r>
      <w:r>
        <w:rPr>
          <w:rFonts w:ascii="Arial" w:cs="Arial" w:eastAsia="Arial" w:hAnsi="Arial"/>
          <w:sz w:val="22"/>
          <w:szCs w:val="22"/>
        </w:rPr>
        <w:t xml:space="preserve">International Conference on Computing Networking and Informatics (ICCNI), IEEE.</w:t>
      </w:r>
    </w:p>
    <w:p>
      <w:pPr>
        <w:spacing w:before="100" w:after="100" w:line="320"/>
        <w:jc w:val="both"/>
      </w:pPr>
      <w:r>
        <w:rPr>
          <w:rFonts w:ascii="Arial" w:cs="Arial" w:eastAsia="Arial" w:hAnsi="Arial"/>
          <w:sz w:val="22"/>
          <w:szCs w:val="22"/>
        </w:rPr>
        <w:t xml:space="preserve">This comparative study evaluates Naive Bayes, K-Nearest Neighbors, and Logistic Regression on the same Kaggle ULB credit card dataset used in FraudShield. The authors test both raw and SMOTE-balanced versions of the dataset, finding that SMOTE consistently improves recall for the minority fraud class. Their analysis of the 0.172% fraud rate (similar to our 0.231%) confirms the necessity of resampling. This paper directly supports our choice of SMOTE and validates the use of the ULB dataset as a standard benchmark.</w:t>
      </w:r>
    </w:p>
    <w:p>
      <w:pPr>
        <w:spacing w:before="80" w:after="80"/>
      </w:pPr>
      <w:r>
        <w:t xml:space="preserve"/>
      </w:r>
    </w:p>
    <w:p>
      <w:pPr>
        <w:pStyle w:val="Heading2"/>
        <w:spacing w:before="280" w:after="140"/>
      </w:pPr>
      <w:r>
        <w:rPr>
          <w:rFonts w:ascii="Arial" w:cs="Arial" w:eastAsia="Arial" w:hAnsi="Arial"/>
          <w:b/>
          <w:bCs/>
          <w:color w:val="2E75B6"/>
          <w:sz w:val="26"/>
          <w:szCs w:val="26"/>
        </w:rPr>
        <w:t xml:space="preserve">Paper 3</w:t>
      </w:r>
    </w:p>
    <w:p>
      <w:pPr>
        <w:spacing w:before="80" w:after="60"/>
      </w:pPr>
      <w:r>
        <w:rPr>
          <w:rFonts w:ascii="Arial" w:cs="Arial" w:eastAsia="Arial" w:hAnsi="Arial"/>
          <w:i/>
          <w:iCs/>
          <w:sz w:val="22"/>
          <w:szCs w:val="22"/>
        </w:rPr>
        <w:t xml:space="preserve">Zanin, M., Romance, M., Moral, S., &amp; Criado, R. (2018). Credit card fraud detection through parenclitic network analysis. </w:t>
      </w:r>
      <w:r>
        <w:rPr>
          <w:rFonts w:ascii="Arial" w:cs="Arial" w:eastAsia="Arial" w:hAnsi="Arial"/>
          <w:sz w:val="22"/>
          <w:szCs w:val="22"/>
        </w:rPr>
        <w:t xml:space="preserve">Complexity, Hindawi.</w:t>
      </w:r>
    </w:p>
    <w:p>
      <w:pPr>
        <w:spacing w:before="100" w:after="100" w:line="320"/>
        <w:jc w:val="both"/>
      </w:pPr>
      <w:r>
        <w:rPr>
          <w:rFonts w:ascii="Arial" w:cs="Arial" w:eastAsia="Arial" w:hAnsi="Arial"/>
          <w:sz w:val="22"/>
          <w:szCs w:val="22"/>
        </w:rPr>
        <w:t xml:space="preserve">This paper explores graph-based feature engineering for fraud detection, constructing parenclitic networks from PCA features to identify anomalous transaction patterns. While their approach differs from ours, the paper provides strong theoretical justification for the importance of feature engineering beyond raw PCA components. Their findings confirm that derived behavioral features (similar to our amount_zscore and is_high_value flags) significantly improve detection rates, directly supporting our feature engineering stage.</w:t>
      </w:r>
    </w:p>
    <w:p>
      <w:pPr>
        <w:spacing w:before="80" w:after="80"/>
      </w:pPr>
      <w:r>
        <w:t xml:space="preserve"/>
      </w:r>
    </w:p>
    <w:p>
      <w:pPr>
        <w:pStyle w:val="Heading2"/>
        <w:spacing w:before="280" w:after="140"/>
      </w:pPr>
      <w:r>
        <w:rPr>
          <w:rFonts w:ascii="Arial" w:cs="Arial" w:eastAsia="Arial" w:hAnsi="Arial"/>
          <w:b/>
          <w:bCs/>
          <w:color w:val="2E75B6"/>
          <w:sz w:val="26"/>
          <w:szCs w:val="26"/>
        </w:rPr>
        <w:t xml:space="preserve">Paper 4</w:t>
      </w:r>
    </w:p>
    <w:p>
      <w:pPr>
        <w:spacing w:before="80" w:after="60"/>
      </w:pPr>
      <w:r>
        <w:rPr>
          <w:rFonts w:ascii="Arial" w:cs="Arial" w:eastAsia="Arial" w:hAnsi="Arial"/>
          <w:i/>
          <w:iCs/>
          <w:sz w:val="22"/>
          <w:szCs w:val="22"/>
        </w:rPr>
        <w:t xml:space="preserve">Randhawa, K., Loo, C. K., Seera, M., Lim, C. P., &amp; Nandi, A. K. (2018). Credit card fraud detection using AdaBoost and majority voting. </w:t>
      </w:r>
      <w:r>
        <w:rPr>
          <w:rFonts w:ascii="Arial" w:cs="Arial" w:eastAsia="Arial" w:hAnsi="Arial"/>
          <w:sz w:val="22"/>
          <w:szCs w:val="22"/>
        </w:rPr>
        <w:t xml:space="preserve">IEEE Access, 6, 14277–14284.</w:t>
      </w:r>
    </w:p>
    <w:p>
      <w:pPr>
        <w:spacing w:before="100" w:after="100" w:line="320"/>
        <w:jc w:val="both"/>
      </w:pPr>
      <w:r>
        <w:rPr>
          <w:rFonts w:ascii="Arial" w:cs="Arial" w:eastAsia="Arial" w:hAnsi="Arial"/>
          <w:sz w:val="22"/>
          <w:szCs w:val="22"/>
        </w:rPr>
        <w:t xml:space="preserve">This paper investigates ensemble boosting methods — specifically AdaBoost and majority voting — for fraud detection, achieving competitive results on imbalanced datasets. The authors demonstrate that boosting-based ensembles outperform bagging (Random Forest) in terms of precision on the minority class. This finding is consistent with our experimental results where GBT (a boosting method) outperforms Random Forest on 4 out of 5 metrics, providing strong literature support for our model selection decision.</w:t>
      </w:r>
    </w:p>
    <w:p>
      <w:pPr>
        <w:spacing w:before="80" w:after="80"/>
      </w:pPr>
      <w:r>
        <w:t xml:space="preserve"/>
      </w:r>
    </w:p>
    <w:p>
      <w:pPr>
        <w:pStyle w:val="Heading2"/>
        <w:spacing w:before="280" w:after="140"/>
      </w:pPr>
      <w:r>
        <w:rPr>
          <w:rFonts w:ascii="Arial" w:cs="Arial" w:eastAsia="Arial" w:hAnsi="Arial"/>
          <w:b/>
          <w:bCs/>
          <w:color w:val="2E75B6"/>
          <w:sz w:val="26"/>
          <w:szCs w:val="26"/>
        </w:rPr>
        <w:t xml:space="preserve">Paper 5</w:t>
      </w:r>
    </w:p>
    <w:p>
      <w:pPr>
        <w:spacing w:before="80" w:after="60"/>
      </w:pPr>
      <w:r>
        <w:rPr>
          <w:rFonts w:ascii="Arial" w:cs="Arial" w:eastAsia="Arial" w:hAnsi="Arial"/>
          <w:i/>
          <w:iCs/>
          <w:sz w:val="22"/>
          <w:szCs w:val="22"/>
        </w:rPr>
        <w:t xml:space="preserve">Rtayli, N., &amp; Enneya, N. (2020). Selection features and support vector machine for credit card fraud detection. </w:t>
      </w:r>
      <w:r>
        <w:rPr>
          <w:rFonts w:ascii="Arial" w:cs="Arial" w:eastAsia="Arial" w:hAnsi="Arial"/>
          <w:sz w:val="22"/>
          <w:szCs w:val="22"/>
        </w:rPr>
        <w:t xml:space="preserve">Procedia Manufacturing, Elsevier, 46, 941–948.</w:t>
      </w:r>
    </w:p>
    <w:p>
      <w:pPr>
        <w:spacing w:before="100" w:after="100" w:line="320"/>
        <w:jc w:val="both"/>
      </w:pPr>
      <w:r>
        <w:rPr>
          <w:rFonts w:ascii="Arial" w:cs="Arial" w:eastAsia="Arial" w:hAnsi="Arial"/>
          <w:sz w:val="22"/>
          <w:szCs w:val="22"/>
        </w:rPr>
        <w:t xml:space="preserve">This paper proposes a feature selection approach combined with SVM for fraud detection on the ULB dataset, demonstrating that careful feature selection reduces model complexity while maintaining accuracy. The authors test multiple feature subsets and find that a reduced feature set of the most discriminative PCA components performs comparably to the full feature set. Their work motivates our inclusion of engineered features on top of the V1–V28 PCA components, as additional behavioral signals improve separation between fraud and legitimate classes.</w:t>
      </w:r>
    </w:p>
    <w:p>
      <w:pPr>
        <w:spacing w:before="80" w:after="80"/>
      </w:pPr>
      <w:r>
        <w:t xml:space="preserve"/>
      </w:r>
    </w:p>
    <w:p>
      <w:r>
        <w:br w:type="page"/>
      </w:r>
    </w:p>
    <w:p>
      <w:pPr>
        <w:pStyle w:val="Heading1"/>
        <w:spacing w:before="360" w:after="200"/>
      </w:pPr>
      <w:r>
        <w:rPr>
          <w:rFonts w:ascii="Arial" w:cs="Arial" w:eastAsia="Arial" w:hAnsi="Arial"/>
          <w:b/>
          <w:bCs/>
          <w:color w:val="1F3864"/>
          <w:sz w:val="32"/>
          <w:szCs w:val="32"/>
        </w:rPr>
        <w:t xml:space="preserve">5. References</w:t>
      </w:r>
    </w:p>
    <w:p>
      <w:pPr>
        <w:pBdr>
          <w:bottom w:val="single" w:color="2E75B6" w:sz="6" w:space="1"/>
        </w:pBdr>
        <w:spacing w:before="100" w:after="100"/>
      </w:pPr>
      <w:r>
        <w:t xml:space="preserve"/>
      </w:r>
    </w:p>
    <w:p>
      <w:pPr>
        <w:spacing w:before="80" w:after="80"/>
      </w:pPr>
      <w:r>
        <w:t xml:space="preserve"/>
      </w:r>
    </w:p>
    <w:p>
      <w:pPr>
        <w:pStyle w:val="ListParagraph"/>
        <w:numPr>
          <w:ilvl w:val="0"/>
          <w:numId w:val="3"/>
        </w:numPr>
        <w:spacing w:before="60" w:after="60"/>
      </w:pPr>
      <w:r>
        <w:rPr>
          <w:rFonts w:ascii="Arial" w:cs="Arial" w:eastAsia="Arial" w:hAnsi="Arial"/>
          <w:sz w:val="22"/>
          <w:szCs w:val="22"/>
        </w:rPr>
        <w:t xml:space="preserve">Thennakoon, A., Bhagyani, C., Premadasa, S., Mihiranga, S., &amp; Kuruwitaarachchi, N. (2019). Real-time credit card fraud detection using machine learning. 9th International Conference on Cloud Computing, Data Science &amp; Engineering (Confluence). IEEE. DOI: 10.1109/CONFLUENCE.2019.8776942</w:t>
      </w:r>
    </w:p>
    <w:p>
      <w:pPr>
        <w:spacing w:before="80" w:after="80"/>
      </w:pPr>
      <w:r>
        <w:t xml:space="preserve"/>
      </w:r>
    </w:p>
    <w:p>
      <w:pPr>
        <w:pStyle w:val="ListParagraph"/>
        <w:numPr>
          <w:ilvl w:val="0"/>
          <w:numId w:val="3"/>
        </w:numPr>
        <w:spacing w:before="60" w:after="60"/>
      </w:pPr>
      <w:r>
        <w:rPr>
          <w:rFonts w:ascii="Arial" w:cs="Arial" w:eastAsia="Arial" w:hAnsi="Arial"/>
          <w:sz w:val="22"/>
          <w:szCs w:val="22"/>
        </w:rPr>
        <w:t xml:space="preserve">Awoyemi, J. O., Adetunmbi, A. O., &amp; Oluwadare, S. A. (2017). Credit card fraud detection using machine learning techniques: A comparative analysis. International Conference on Computing Networking and Informatics (ICCNI). IEEE. DOI: 10.1109/ICCNI.2017.8123782</w:t>
      </w:r>
    </w:p>
    <w:p>
      <w:pPr>
        <w:spacing w:before="80" w:after="80"/>
      </w:pPr>
      <w:r>
        <w:t xml:space="preserve"/>
      </w:r>
    </w:p>
    <w:p>
      <w:pPr>
        <w:pStyle w:val="ListParagraph"/>
        <w:numPr>
          <w:ilvl w:val="0"/>
          <w:numId w:val="3"/>
        </w:numPr>
        <w:spacing w:before="60" w:after="60"/>
      </w:pPr>
      <w:r>
        <w:rPr>
          <w:rFonts w:ascii="Arial" w:cs="Arial" w:eastAsia="Arial" w:hAnsi="Arial"/>
          <w:sz w:val="22"/>
          <w:szCs w:val="22"/>
        </w:rPr>
        <w:t xml:space="preserve">Zanin, M., Romance, M., Moral, S., &amp; Criado, R. (2018). Credit card fraud detection through parenclitic network analysis. Complexity, Hindawi. DOI: 10.1155/2018/5764370</w:t>
      </w:r>
    </w:p>
    <w:p>
      <w:pPr>
        <w:spacing w:before="80" w:after="80"/>
      </w:pPr>
      <w:r>
        <w:t xml:space="preserve"/>
      </w:r>
    </w:p>
    <w:p>
      <w:pPr>
        <w:pStyle w:val="ListParagraph"/>
        <w:numPr>
          <w:ilvl w:val="0"/>
          <w:numId w:val="3"/>
        </w:numPr>
        <w:spacing w:before="60" w:after="60"/>
      </w:pPr>
      <w:r>
        <w:rPr>
          <w:rFonts w:ascii="Arial" w:cs="Arial" w:eastAsia="Arial" w:hAnsi="Arial"/>
          <w:sz w:val="22"/>
          <w:szCs w:val="22"/>
        </w:rPr>
        <w:t xml:space="preserve">Randhawa, K., Loo, C. K., Seera, M., Lim, C. P., &amp; Nandi, A. K. (2018). Credit card fraud detection using AdaBoost and majority voting. IEEE Access, 6, 14277–14284. DOI: 10.1109/ACCESS.2018.2806420</w:t>
      </w:r>
    </w:p>
    <w:p>
      <w:pPr>
        <w:spacing w:before="80" w:after="80"/>
      </w:pPr>
      <w:r>
        <w:t xml:space="preserve"/>
      </w:r>
    </w:p>
    <w:p>
      <w:pPr>
        <w:pStyle w:val="ListParagraph"/>
        <w:numPr>
          <w:ilvl w:val="0"/>
          <w:numId w:val="3"/>
        </w:numPr>
        <w:spacing w:before="60" w:after="60"/>
      </w:pPr>
      <w:r>
        <w:rPr>
          <w:rFonts w:ascii="Arial" w:cs="Arial" w:eastAsia="Arial" w:hAnsi="Arial"/>
          <w:sz w:val="22"/>
          <w:szCs w:val="22"/>
        </w:rPr>
        <w:t xml:space="preserve">Rtayli, N., &amp; Enneya, N. (2020). Selection features and support vector machine for credit card fraud detection. Procedia Manufacturing, Elsevier, 46, 941–948. DOI: 10.1016/j.promfg.2020.05.013</w:t>
      </w:r>
    </w:p>
    <w:p>
      <w:pPr>
        <w:spacing w:before="80" w:after="80"/>
      </w:pPr>
      <w:r>
        <w:t xml:space="preserve"/>
      </w:r>
    </w:p>
    <w:p>
      <w:pPr>
        <w:pStyle w:val="ListParagraph"/>
        <w:numPr>
          <w:ilvl w:val="0"/>
          <w:numId w:val="3"/>
        </w:numPr>
        <w:spacing w:before="60" w:after="60"/>
      </w:pPr>
      <w:r>
        <w:rPr>
          <w:rFonts w:ascii="Arial" w:cs="Arial" w:eastAsia="Arial" w:hAnsi="Arial"/>
          <w:sz w:val="22"/>
          <w:szCs w:val="22"/>
        </w:rPr>
        <w:t xml:space="preserve">Dal Pozzolo, A., Caelen, O., Johnson, R. A., &amp; Bontempi, G. (2015). Calibrating probability with undersampling for unbalanced classification. IEEE Symposium Series on Computational Intelligence.</w:t>
      </w:r>
    </w:p>
    <w:p>
      <w:pPr>
        <w:spacing w:before="80" w:after="80"/>
      </w:pPr>
      <w:r>
        <w:t xml:space="preserve"/>
      </w:r>
    </w:p>
    <w:p>
      <w:pPr>
        <w:pStyle w:val="ListParagraph"/>
        <w:numPr>
          <w:ilvl w:val="0"/>
          <w:numId w:val="3"/>
        </w:numPr>
        <w:spacing w:before="60" w:after="60"/>
      </w:pPr>
      <w:r>
        <w:rPr>
          <w:rFonts w:ascii="Arial" w:cs="Arial" w:eastAsia="Arial" w:hAnsi="Arial"/>
          <w:sz w:val="22"/>
          <w:szCs w:val="22"/>
        </w:rPr>
        <w:t xml:space="preserve">Chawla, N. V., Bowyer, K. W., Hall, L. O., &amp; Kegelmeyer, W. P. (2002). SMOTE: Synthetic Minority Over-sampling Technique. Journal of Artificial Intelligence Research, 16, 321–357.</w:t>
      </w:r>
    </w:p>
    <w:p>
      <w:pPr>
        <w:spacing w:before="80" w:after="80"/>
      </w:pPr>
      <w:r>
        <w:t xml:space="preserve"/>
      </w:r>
    </w:p>
    <w:p>
      <w:pPr>
        <w:pStyle w:val="ListParagraph"/>
        <w:numPr>
          <w:ilvl w:val="0"/>
          <w:numId w:val="3"/>
        </w:numPr>
        <w:spacing w:before="60" w:after="60"/>
      </w:pPr>
      <w:r>
        <w:rPr>
          <w:rFonts w:ascii="Arial" w:cs="Arial" w:eastAsia="Arial" w:hAnsi="Arial"/>
          <w:sz w:val="22"/>
          <w:szCs w:val="22"/>
        </w:rPr>
        <w:t xml:space="preserve">Apache Spark Documentation. (2024). MLlib: Machine Learning Library. https://spark.apache.org/docs/latest/ml-guide.html</w:t>
      </w:r>
    </w:p>
    <w:p>
      <w:pPr>
        <w:spacing w:before="80" w:after="80"/>
      </w:pPr>
      <w:r>
        <w:t xml:space="preserve"/>
      </w:r>
    </w:p>
    <w:p>
      <w:pPr>
        <w:pStyle w:val="ListParagraph"/>
        <w:numPr>
          <w:ilvl w:val="0"/>
          <w:numId w:val="3"/>
        </w:numPr>
        <w:spacing w:before="60" w:after="60"/>
      </w:pPr>
      <w:r>
        <w:rPr>
          <w:rFonts w:ascii="Arial" w:cs="Arial" w:eastAsia="Arial" w:hAnsi="Arial"/>
          <w:sz w:val="22"/>
          <w:szCs w:val="22"/>
        </w:rPr>
        <w:t xml:space="preserve">ULB Machine Learning Group. (2018). Credit Card Fraud Detection Dataset. Kaggle. https://www.kaggle.com/datasets/mlg-ulb/creditcardfraud</w:t>
      </w:r>
    </w:p>
    <w:p>
      <w:pPr>
        <w:spacing w:before="80" w:after="80"/>
      </w:pPr>
      <w:r>
        <w:t xml:space="preserve"/>
      </w:r>
    </w:p>
    <w:p>
      <w:pPr>
        <w:pStyle w:val="ListParagraph"/>
        <w:numPr>
          <w:ilvl w:val="0"/>
          <w:numId w:val="3"/>
        </w:numPr>
        <w:spacing w:before="60" w:after="60"/>
      </w:pPr>
      <w:r>
        <w:rPr>
          <w:rFonts w:ascii="Arial" w:cs="Arial" w:eastAsia="Arial" w:hAnsi="Arial"/>
          <w:sz w:val="22"/>
          <w:szCs w:val="22"/>
        </w:rPr>
        <w:t xml:space="preserve">Streamlit Inc. (2024). Streamlit Documentation. https://docs.streamlit.io</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FraudShield — Big Data Credit Card Fraud Detection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2026-03-12T14:37:40.858Z</dcterms:created>
  <dcterms:modified xsi:type="dcterms:W3CDTF">2026-03-12T14:37:40.858Z</dcterms:modified>
</cp:coreProperties>
</file>

<file path=docProps/custom.xml><?xml version="1.0" encoding="utf-8"?>
<Properties xmlns="http://schemas.openxmlformats.org/officeDocument/2006/custom-properties" xmlns:vt="http://schemas.openxmlformats.org/officeDocument/2006/docPropsVTypes"/>
</file>