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A5C38"/>
          <w:sz w:val="40"/>
          <w:szCs w:val="40"/>
        </w:rPr>
        <w:t xml:space="preserve">DOCUMENTATION TECHNIQUE</w:t>
      </w:r>
    </w:p>
    <w:p>
      <w:pPr>
        <w:spacing w:before="200" w:after="600"/>
        <w:jc w:val="center"/>
      </w:pPr>
      <w:r>
        <w:rPr>
          <w:rFonts w:ascii="Arial" w:cs="Arial" w:eastAsia="Arial" w:hAnsi="Arial"/>
          <w:b/>
          <w:bCs/>
          <w:color w:val="333333"/>
          <w:sz w:val="30"/>
          <w:szCs w:val="30"/>
        </w:rPr>
        <w:t xml:space="preserve">Contrôle quotidien des flux SAP / 3PL via SAP BTP</w:t>
      </w:r>
    </w:p>
    <w:p>
      <w:pPr>
        <w:spacing w:before="100" w:after="100"/>
        <w:jc w:val="center"/>
      </w:pPr>
      <w:r>
        <w:rPr>
          <w:rFonts w:ascii="Arial" w:cs="Arial" w:eastAsia="Arial" w:hAnsi="Arial"/>
          <w:i/>
          <w:iCs/>
          <w:color w:val="777777"/>
          <w:sz w:val="22"/>
          <w:szCs w:val="22"/>
        </w:rPr>
        <w:t xml:space="preserve">SP2 — Situation Professionnelle</w:t>
      </w:r>
    </w:p>
    <w:p>
      <w:pPr>
        <w:pBdr>
          <w:bottom w:val="single" w:color="1A5C38" w:sz="6" w:space="1"/>
        </w:pBdr>
        <w:spacing w:before="400" w:after="6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500"/>
        <w:gridCol w:w="6526"/>
      </w:tblGrid>
      <w:tr>
        <w:tc>
          <w:tcPr>
            <w:tcW w:type="dxa" w:w="25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Candidat</w:t>
            </w:r>
          </w:p>
        </w:tc>
        <w:tc>
          <w:tcPr>
            <w:tcW w:type="dxa" w:w="6526"/>
            <w:tcBorders>
              <w:top w:val="single" w:color="CCCCCC" w:sz="1"/>
              <w:left w:val="single" w:color="CCCCCC" w:sz="1"/>
              <w:bottom w:val="single" w:color="CCCCCC" w:sz="1"/>
              <w:right w:val="single" w:color="CCCCCC" w:sz="1"/>
            </w:tcBorders>
            <w:shd w:fill="F2FAF6" w:val="clear"/>
            <w:tcMar>
              <w:top w:type="dxa" w:w="80"/>
              <w:left w:type="dxa" w:w="120"/>
              <w:bottom w:type="dxa" w:w="80"/>
              <w:right w:type="dxa" w:w="120"/>
            </w:tcMar>
          </w:tcPr>
          <w:p>
            <w:r>
              <w:rPr>
                <w:rFonts w:ascii="Arial" w:cs="Arial" w:eastAsia="Arial" w:hAnsi="Arial"/>
                <w:sz w:val="20"/>
                <w:szCs w:val="20"/>
              </w:rPr>
              <w:t xml:space="preserve">MONTEIRO Noa</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500"/>
        <w:gridCol w:w="6526"/>
      </w:tblGrid>
      <w:tr>
        <w:tc>
          <w:tcPr>
            <w:tcW w:type="dxa" w:w="25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Entreprise</w:t>
            </w:r>
          </w:p>
        </w:tc>
        <w:tc>
          <w:tcPr>
            <w:tcW w:type="dxa" w:w="6526"/>
            <w:tcBorders>
              <w:top w:val="single" w:color="CCCCCC" w:sz="1"/>
              <w:left w:val="single" w:color="CCCCCC" w:sz="1"/>
              <w:bottom w:val="single" w:color="CCCCCC" w:sz="1"/>
              <w:right w:val="single" w:color="CCCCCC" w:sz="1"/>
            </w:tcBorders>
            <w:shd w:fill="F2FAF6" w:val="clear"/>
            <w:tcMar>
              <w:top w:type="dxa" w:w="80"/>
              <w:left w:type="dxa" w:w="120"/>
              <w:bottom w:type="dxa" w:w="80"/>
              <w:right w:type="dxa" w:w="120"/>
            </w:tcMar>
          </w:tcPr>
          <w:p>
            <w:r>
              <w:rPr>
                <w:rFonts w:ascii="Arial" w:cs="Arial" w:eastAsia="Arial" w:hAnsi="Arial"/>
                <w:sz w:val="20"/>
                <w:szCs w:val="20"/>
              </w:rPr>
              <w:t xml:space="preserve">FMO Consulting — Conseil SAP</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500"/>
        <w:gridCol w:w="6526"/>
      </w:tblGrid>
      <w:tr>
        <w:tc>
          <w:tcPr>
            <w:tcW w:type="dxa" w:w="25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Client</w:t>
            </w:r>
          </w:p>
        </w:tc>
        <w:tc>
          <w:tcPr>
            <w:tcW w:type="dxa" w:w="6526"/>
            <w:tcBorders>
              <w:top w:val="single" w:color="CCCCCC" w:sz="1"/>
              <w:left w:val="single" w:color="CCCCCC" w:sz="1"/>
              <w:bottom w:val="single" w:color="CCCCCC" w:sz="1"/>
              <w:right w:val="single" w:color="CCCCCC" w:sz="1"/>
            </w:tcBorders>
            <w:shd w:fill="F2FAF6" w:val="clear"/>
            <w:tcMar>
              <w:top w:type="dxa" w:w="80"/>
              <w:left w:type="dxa" w:w="120"/>
              <w:bottom w:type="dxa" w:w="80"/>
              <w:right w:type="dxa" w:w="120"/>
            </w:tcMar>
          </w:tcPr>
          <w:p>
            <w:r>
              <w:rPr>
                <w:rFonts w:ascii="Arial" w:cs="Arial" w:eastAsia="Arial" w:hAnsi="Arial"/>
                <w:sz w:val="20"/>
                <w:szCs w:val="20"/>
              </w:rPr>
              <w:t xml:space="preserve">Kering Beauté (Groupe Kering — Retail Luxe)</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500"/>
        <w:gridCol w:w="6526"/>
      </w:tblGrid>
      <w:tr>
        <w:tc>
          <w:tcPr>
            <w:tcW w:type="dxa" w:w="25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Période</w:t>
            </w:r>
          </w:p>
        </w:tc>
        <w:tc>
          <w:tcPr>
            <w:tcW w:type="dxa" w:w="6526"/>
            <w:tcBorders>
              <w:top w:val="single" w:color="CCCCCC" w:sz="1"/>
              <w:left w:val="single" w:color="CCCCCC" w:sz="1"/>
              <w:bottom w:val="single" w:color="CCCCCC" w:sz="1"/>
              <w:right w:val="single" w:color="CCCCCC" w:sz="1"/>
            </w:tcBorders>
            <w:shd w:fill="F2FAF6" w:val="clear"/>
            <w:tcMar>
              <w:top w:type="dxa" w:w="80"/>
              <w:left w:type="dxa" w:w="120"/>
              <w:bottom w:type="dxa" w:w="80"/>
              <w:right w:type="dxa" w:w="120"/>
            </w:tcMar>
          </w:tcPr>
          <w:p>
            <w:r>
              <w:rPr>
                <w:rFonts w:ascii="Arial" w:cs="Arial" w:eastAsia="Arial" w:hAnsi="Arial"/>
                <w:sz w:val="20"/>
                <w:szCs w:val="20"/>
              </w:rPr>
              <w:t xml:space="preserve">Janvier 2025 — Mission quotidienne continue</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500"/>
        <w:gridCol w:w="6526"/>
      </w:tblGrid>
      <w:tr>
        <w:tc>
          <w:tcPr>
            <w:tcW w:type="dxa" w:w="25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Environnement</w:t>
            </w:r>
          </w:p>
        </w:tc>
        <w:tc>
          <w:tcPr>
            <w:tcW w:type="dxa" w:w="6526"/>
            <w:tcBorders>
              <w:top w:val="single" w:color="CCCCCC" w:sz="1"/>
              <w:left w:val="single" w:color="CCCCCC" w:sz="1"/>
              <w:bottom w:val="single" w:color="CCCCCC" w:sz="1"/>
              <w:right w:val="single" w:color="CCCCCC" w:sz="1"/>
            </w:tcBorders>
            <w:shd w:fill="F2FAF6" w:val="clear"/>
            <w:tcMar>
              <w:top w:type="dxa" w:w="80"/>
              <w:left w:type="dxa" w:w="120"/>
              <w:bottom w:type="dxa" w:w="80"/>
              <w:right w:type="dxa" w:w="120"/>
            </w:tcMar>
          </w:tcPr>
          <w:p>
            <w:r>
              <w:rPr>
                <w:rFonts w:ascii="Arial" w:cs="Arial" w:eastAsia="Arial" w:hAnsi="Arial"/>
                <w:sz w:val="20"/>
                <w:szCs w:val="20"/>
              </w:rPr>
              <w:t xml:space="preserve">SAP BTP, SAP S/4HANA, FM Logistic (3PL), SAP GUI (VL02N)</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2500"/>
        <w:gridCol w:w="6526"/>
      </w:tblGrid>
      <w:tr>
        <w:tc>
          <w:tcPr>
            <w:tcW w:type="dxa" w:w="25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Compétences</w:t>
            </w:r>
          </w:p>
        </w:tc>
        <w:tc>
          <w:tcPr>
            <w:tcW w:type="dxa" w:w="6526"/>
            <w:tcBorders>
              <w:top w:val="single" w:color="CCCCCC" w:sz="1"/>
              <w:left w:val="single" w:color="CCCCCC" w:sz="1"/>
              <w:bottom w:val="single" w:color="CCCCCC" w:sz="1"/>
              <w:right w:val="single" w:color="CCCCCC" w:sz="1"/>
            </w:tcBorders>
            <w:shd w:fill="F2FAF6" w:val="clear"/>
            <w:tcMar>
              <w:top w:type="dxa" w:w="80"/>
              <w:left w:type="dxa" w:w="120"/>
              <w:bottom w:type="dxa" w:w="80"/>
              <w:right w:type="dxa" w:w="120"/>
            </w:tcMar>
          </w:tcPr>
          <w:p>
            <w:r>
              <w:rPr>
                <w:rFonts w:ascii="Arial" w:cs="Arial" w:eastAsia="Arial" w:hAnsi="Arial"/>
                <w:sz w:val="20"/>
                <w:szCs w:val="20"/>
              </w:rPr>
              <w:t xml:space="preserve">B1 — B2 — B5 — B6</w:t>
            </w:r>
          </w:p>
        </w:tc>
      </w:tr>
    </w:tbl>
    <w:p>
      <w:pPr>
        <w:spacing w:before="0" w:after="0"/>
      </w:pPr>
      <w:r>
        <w:br w:type="page"/>
      </w:r>
    </w:p>
    <w:p>
      <w:pPr>
        <w:pStyle w:val="Heading1"/>
        <w:pBdr>
          <w:bottom w:val="single" w:color="1A5C38" w:sz="4" w:space="1"/>
        </w:pBdr>
        <w:spacing w:before="320" w:after="160"/>
      </w:pPr>
      <w:r>
        <w:rPr>
          <w:rFonts w:ascii="Arial" w:cs="Arial" w:eastAsia="Arial" w:hAnsi="Arial"/>
          <w:b/>
          <w:bCs/>
          <w:color w:val="1A5C38"/>
          <w:sz w:val="28"/>
          <w:szCs w:val="28"/>
        </w:rPr>
        <w:t xml:space="preserve">1. Contexte et objectif de la mission</w:t>
      </w:r>
    </w:p>
    <w:p>
      <w:pPr>
        <w:spacing w:before="80" w:after="80"/>
      </w:pPr>
      <w:r>
        <w:rPr>
          <w:rFonts w:ascii="Arial" w:cs="Arial" w:eastAsia="Arial" w:hAnsi="Arial"/>
          <w:sz w:val="22"/>
          <w:szCs w:val="22"/>
        </w:rPr>
        <w:t xml:space="preserve">Dans le cadre de la mission chez Kering Beauté, FMO Consulting assure le suivi quotidien des flux d'intégration entre SAP S/4HANA et le prestataire logistique 3PL FM Logistic. Ces flux gèrent les livraisons, les mouvements de stocks et les confirmations d'expédition entre les deux systèmes.</w:t>
      </w:r>
    </w:p>
    <w:p>
      <w:pPr>
        <w:spacing w:before="80" w:after="80"/>
      </w:pPr>
      <w:r>
        <w:rPr>
          <w:rFonts w:ascii="Arial" w:cs="Arial" w:eastAsia="Arial" w:hAnsi="Arial"/>
          <w:sz w:val="22"/>
          <w:szCs w:val="22"/>
        </w:rPr>
        <w:t xml:space="preserve">Mon rôle consiste à consulter chaque matin le tableau de bord SAP BTP (Business Technology Platform), identifier les livraisons tombées en erreur, analyser la cause de l'anomalie et soit la corriger directement, soit escalader vers les interlocuteurs compétents.</w:t>
      </w:r>
    </w:p>
    <w:p>
      <w:pPr>
        <w:spacing w:before="80" w:after="80"/>
      </w:pPr>
      <w:r>
        <w:t xml:space="preserve"/>
      </w:r>
    </w:p>
    <w:p>
      <w:pPr>
        <w:pStyle w:val="Heading1"/>
        <w:pBdr>
          <w:bottom w:val="single" w:color="1A5C38" w:sz="4" w:space="1"/>
        </w:pBdr>
        <w:spacing w:before="320" w:after="160"/>
      </w:pPr>
      <w:r>
        <w:rPr>
          <w:rFonts w:ascii="Arial" w:cs="Arial" w:eastAsia="Arial" w:hAnsi="Arial"/>
          <w:b/>
          <w:bCs/>
          <w:color w:val="1A5C38"/>
          <w:sz w:val="28"/>
          <w:szCs w:val="28"/>
        </w:rPr>
        <w:t xml:space="preserve">2. Procédure de traitement des erreurs</w:t>
      </w:r>
    </w:p>
    <w:p>
      <w:pPr>
        <w:pStyle w:val="Heading2"/>
        <w:spacing w:before="240" w:after="120"/>
      </w:pPr>
      <w:r>
        <w:rPr>
          <w:rFonts w:ascii="Arial" w:cs="Arial" w:eastAsia="Arial" w:hAnsi="Arial"/>
          <w:b/>
          <w:bCs/>
          <w:color w:val="2E7D52"/>
          <w:sz w:val="24"/>
          <w:szCs w:val="24"/>
        </w:rPr>
        <w:t xml:space="preserve">Étape 1 — Réception du rapport d'erreurs quotidien</w:t>
      </w:r>
    </w:p>
    <w:p>
      <w:pPr>
        <w:spacing w:before="80" w:after="80"/>
      </w:pPr>
      <w:r>
        <w:rPr>
          <w:rFonts w:ascii="Arial" w:cs="Arial" w:eastAsia="Arial" w:hAnsi="Arial"/>
          <w:sz w:val="22"/>
          <w:szCs w:val="22"/>
        </w:rPr>
        <w:t xml:space="preserve">Chaque matin, je reçois automatiquement par mail un tableau Excel récapitulatif des livraisons tombées en erreur dans SAP BTP. Ce tableau liste les flux en échec avec leur identifiant, le code article concerné et le type d'anomalie détectée.</w:t>
      </w:r>
    </w:p>
    <w:p>
      <w:pPr>
        <w:spacing w:before="160" w:after="60"/>
      </w:pPr>
      <w:r>
        <w:rPr>
          <w:rFonts w:ascii="Arial" w:cs="Arial" w:eastAsia="Arial" w:hAnsi="Arial"/>
          <w:b/>
          <w:bCs/>
          <w:i/>
          <w:iCs/>
          <w:color w:val="555555"/>
          <w:sz w:val="20"/>
          <w:szCs w:val="20"/>
        </w:rPr>
        <w:t xml:space="preserve">  Capture 1 —</w:t>
      </w:r>
    </w:p>
    <w:p>
      <w:pPr>
        <w:spacing w:before="60" w:after="60"/>
        <w:jc w:val="center"/>
      </w:pPr>
      <w:r>
        <w:drawing>
          <wp:inline distT="0" distB="0" distL="0" distR="0">
            <wp:extent cx="5524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524500" cy="2619375"/>
                    </a:xfrm>
                    <a:prstGeom prst="rect">
                      <a:avLst/>
                    </a:prstGeom>
                  </pic:spPr>
                </pic:pic>
              </a:graphicData>
            </a:graphic>
          </wp:inline>
        </w:drawing>
      </w:r>
    </w:p>
    <w:p>
      <w:pPr>
        <w:spacing w:before="40" w:after="160"/>
        <w:jc w:val="center"/>
      </w:pPr>
      <w:r>
        <w:rPr>
          <w:rFonts w:ascii="Arial" w:cs="Arial" w:eastAsia="Arial" w:hAnsi="Arial"/>
          <w:i/>
          <w:iCs/>
          <w:color w:val="777777"/>
          <w:sz w:val="18"/>
          <w:szCs w:val="18"/>
        </w:rPr>
        <w:t xml:space="preserve">Tableau Excel des livraisons en erreur reçu par mail automatique</w:t>
      </w:r>
    </w:p>
    <w:p>
      <w:pPr>
        <w:pStyle w:val="Heading2"/>
        <w:spacing w:before="240" w:after="120"/>
      </w:pPr>
      <w:r>
        <w:rPr>
          <w:rFonts w:ascii="Arial" w:cs="Arial" w:eastAsia="Arial" w:hAnsi="Arial"/>
          <w:b/>
          <w:bCs/>
          <w:color w:val="2E7D52"/>
          <w:sz w:val="24"/>
          <w:szCs w:val="24"/>
        </w:rPr>
        <w:t xml:space="preserve">Étape 2 — Identification du flux en erreur dans SAP BTP</w:t>
      </w:r>
    </w:p>
    <w:p>
      <w:pPr>
        <w:spacing w:before="80" w:after="80"/>
      </w:pPr>
      <w:r>
        <w:rPr>
          <w:rFonts w:ascii="Arial" w:cs="Arial" w:eastAsia="Arial" w:hAnsi="Arial"/>
          <w:sz w:val="22"/>
          <w:szCs w:val="22"/>
        </w:rPr>
        <w:t xml:space="preserve">À partir du tableau reçu par mail, je me connecte à SAP BTP et recherche la livraison en erreur. Je consulte le flux correspondant au "GoodIssue Pickup" pour identifier précisément où l'anomalie s'est produite dans la chaîne d'intégration.</w:t>
      </w:r>
    </w:p>
    <w:p>
      <w:pPr>
        <w:spacing w:before="160" w:after="60"/>
      </w:pPr>
      <w:r>
        <w:rPr>
          <w:rFonts w:ascii="Arial" w:cs="Arial" w:eastAsia="Arial" w:hAnsi="Arial"/>
          <w:b/>
          <w:bCs/>
          <w:i/>
          <w:iCs/>
          <w:color w:val="555555"/>
          <w:sz w:val="20"/>
          <w:szCs w:val="20"/>
        </w:rPr>
        <w:t xml:space="preserve">  Capture 2 —</w:t>
      </w:r>
    </w:p>
    <w:p>
      <w:pPr>
        <w:spacing w:before="60" w:after="60"/>
        <w:jc w:val="center"/>
      </w:pPr>
      <w:r>
        <w:drawing>
          <wp:inline distT="0" distB="0" distL="0" distR="0">
            <wp:extent cx="5524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619375"/>
                    </a:xfrm>
                    <a:prstGeom prst="rect">
                      <a:avLst/>
                    </a:prstGeom>
                  </pic:spPr>
                </pic:pic>
              </a:graphicData>
            </a:graphic>
          </wp:inline>
        </w:drawing>
      </w:r>
    </w:p>
    <w:p>
      <w:pPr>
        <w:spacing w:before="40" w:after="160"/>
        <w:jc w:val="center"/>
      </w:pPr>
      <w:r>
        <w:rPr>
          <w:rFonts w:ascii="Arial" w:cs="Arial" w:eastAsia="Arial" w:hAnsi="Arial"/>
          <w:i/>
          <w:iCs/>
          <w:color w:val="777777"/>
          <w:sz w:val="18"/>
          <w:szCs w:val="18"/>
        </w:rPr>
        <w:t xml:space="preserve">Interface SAP BTP — Recherche du flux GoodIssue Pickup en erreur</w:t>
      </w:r>
    </w:p>
    <w:p>
      <w:pPr>
        <w:pStyle w:val="Heading2"/>
        <w:spacing w:before="240" w:after="120"/>
      </w:pPr>
      <w:r>
        <w:rPr>
          <w:rFonts w:ascii="Arial" w:cs="Arial" w:eastAsia="Arial" w:hAnsi="Arial"/>
          <w:b/>
          <w:bCs/>
          <w:color w:val="2E7D52"/>
          <w:sz w:val="24"/>
          <w:szCs w:val="24"/>
        </w:rPr>
        <w:t xml:space="preserve">Étape 3 — Analyse du message d'erreur (Failed Message)</w:t>
      </w:r>
    </w:p>
    <w:p>
      <w:pPr>
        <w:spacing w:before="80" w:after="80"/>
      </w:pPr>
      <w:r>
        <w:rPr>
          <w:rFonts w:ascii="Arial" w:cs="Arial" w:eastAsia="Arial" w:hAnsi="Arial"/>
          <w:sz w:val="22"/>
          <w:szCs w:val="22"/>
        </w:rPr>
        <w:t xml:space="preserve">Dans SAP BTP, je consulte le "Failed Message" associé au flux en erreur. Ce message technique indique la cause précise du blocage. Par exemple, le message peut indiquer qu'il n'y a pas de stock disponible pour un article avec un lot (batch) spécifique.</w:t>
      </w:r>
    </w:p>
    <w:p>
      <w:pPr>
        <w:spacing w:before="160" w:after="60"/>
      </w:pPr>
      <w:r>
        <w:rPr>
          <w:rFonts w:ascii="Arial" w:cs="Arial" w:eastAsia="Arial" w:hAnsi="Arial"/>
          <w:b/>
          <w:bCs/>
          <w:i/>
          <w:iCs/>
          <w:color w:val="555555"/>
          <w:sz w:val="20"/>
          <w:szCs w:val="20"/>
        </w:rPr>
        <w:t xml:space="preserve">  Capture 3 —</w:t>
      </w:r>
    </w:p>
    <w:p>
      <w:pPr>
        <w:spacing w:before="60" w:after="60"/>
        <w:jc w:val="center"/>
      </w:pPr>
      <w:r>
        <w:drawing>
          <wp:inline distT="0" distB="0" distL="0" distR="0">
            <wp:extent cx="5524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619375"/>
                    </a:xfrm>
                    <a:prstGeom prst="rect">
                      <a:avLst/>
                    </a:prstGeom>
                  </pic:spPr>
                </pic:pic>
              </a:graphicData>
            </a:graphic>
          </wp:inline>
        </w:drawing>
      </w:r>
    </w:p>
    <w:p>
      <w:pPr>
        <w:spacing w:before="40" w:after="160"/>
        <w:jc w:val="center"/>
      </w:pPr>
      <w:r>
        <w:rPr>
          <w:rFonts w:ascii="Arial" w:cs="Arial" w:eastAsia="Arial" w:hAnsi="Arial"/>
          <w:i/>
          <w:iCs/>
          <w:color w:val="777777"/>
          <w:sz w:val="18"/>
          <w:szCs w:val="18"/>
        </w:rPr>
        <w:t xml:space="preserve">Exemple de Failed Message BTP — Absence de stock pour l'article 5000233, lot D003378</w:t>
      </w:r>
    </w:p>
    <w:p>
      <w:pPr>
        <w:spacing w:before="80" w:after="80"/>
      </w:pPr>
      <w:r>
        <w:rPr>
          <w:rFonts w:ascii="Arial" w:cs="Arial" w:eastAsia="Arial" w:hAnsi="Arial"/>
          <w:sz w:val="22"/>
          <w:szCs w:val="22"/>
        </w:rPr>
        <w:t xml:space="preserve">Dans cet exemple, le message indique :</w:t>
      </w:r>
    </w:p>
    <w:p>
      <w:pPr>
        <w:pStyle w:val="ListParagraph"/>
        <w:numPr>
          <w:ilvl w:val="0"/>
          <w:numId w:val="2"/>
        </w:numPr>
        <w:spacing w:before="60" w:after="60"/>
      </w:pPr>
      <w:r>
        <w:rPr>
          <w:rFonts w:ascii="Arial" w:cs="Arial" w:eastAsia="Arial" w:hAnsi="Arial"/>
          <w:sz w:val="22"/>
          <w:szCs w:val="22"/>
        </w:rPr>
        <w:t xml:space="preserve">Article concerné : 5000233</w:t>
      </w:r>
    </w:p>
    <w:p>
      <w:pPr>
        <w:pStyle w:val="ListParagraph"/>
        <w:numPr>
          <w:ilvl w:val="0"/>
          <w:numId w:val="2"/>
        </w:numPr>
        <w:spacing w:before="60" w:after="60"/>
      </w:pPr>
      <w:r>
        <w:rPr>
          <w:rFonts w:ascii="Arial" w:cs="Arial" w:eastAsia="Arial" w:hAnsi="Arial"/>
          <w:sz w:val="22"/>
          <w:szCs w:val="22"/>
        </w:rPr>
        <w:t xml:space="preserve">Objet 20 = lot (batch) : D003378</w:t>
      </w:r>
    </w:p>
    <w:p>
      <w:pPr>
        <w:pStyle w:val="ListParagraph"/>
        <w:numPr>
          <w:ilvl w:val="0"/>
          <w:numId w:val="2"/>
        </w:numPr>
        <w:spacing w:before="60" w:after="60"/>
      </w:pPr>
      <w:r>
        <w:rPr>
          <w:rFonts w:ascii="Arial" w:cs="Arial" w:eastAsia="Arial" w:hAnsi="Arial"/>
          <w:sz w:val="22"/>
          <w:szCs w:val="22"/>
        </w:rPr>
        <w:t xml:space="preserve">Cause : aucun stock disponible pour cet article avec ce lot spécifique</w:t>
      </w:r>
    </w:p>
    <w:p>
      <w:pPr>
        <w:spacing w:before="80" w:after="80"/>
      </w:pPr>
      <w:r>
        <w:t xml:space="preserve"/>
      </w:r>
    </w:p>
    <w:p>
      <w:pPr>
        <w:pStyle w:val="Heading2"/>
        <w:spacing w:before="240" w:after="120"/>
      </w:pPr>
      <w:r>
        <w:rPr>
          <w:rFonts w:ascii="Arial" w:cs="Arial" w:eastAsia="Arial" w:hAnsi="Arial"/>
          <w:b/>
          <w:bCs/>
          <w:color w:val="2E7D52"/>
          <w:sz w:val="24"/>
          <w:szCs w:val="24"/>
        </w:rPr>
        <w:t xml:space="preserve">Étape 4 — Vérification et correction dans SAP (transaction VL02N)</w:t>
      </w:r>
    </w:p>
    <w:p>
      <w:pPr>
        <w:spacing w:before="80" w:after="80"/>
      </w:pPr>
      <w:r>
        <w:rPr>
          <w:rFonts w:ascii="Arial" w:cs="Arial" w:eastAsia="Arial" w:hAnsi="Arial"/>
          <w:sz w:val="22"/>
          <w:szCs w:val="22"/>
        </w:rPr>
        <w:t xml:space="preserve">Si l'erreur est de niveau 1 (corrigeable directement), je me connecte à SAP S/4HANA et utilise la transaction VL02N — "Modifier une livraison sortante". Je vérifie si du stock est redevenu disponible, je corrige le lot (batch) et la quantité prélevée (picked quantity), puis je sauvegarde et poste la livraison.</w:t>
      </w:r>
    </w:p>
    <w:p>
      <w:pPr>
        <w:spacing w:before="160" w:after="60"/>
      </w:pPr>
      <w:r>
        <w:rPr>
          <w:rFonts w:ascii="Arial" w:cs="Arial" w:eastAsia="Arial" w:hAnsi="Arial"/>
          <w:b/>
          <w:bCs/>
          <w:i/>
          <w:iCs/>
          <w:color w:val="555555"/>
          <w:sz w:val="20"/>
          <w:szCs w:val="20"/>
        </w:rPr>
        <w:t xml:space="preserve">  Capture 4 —</w:t>
      </w:r>
    </w:p>
    <w:p>
      <w:pPr>
        <w:spacing w:before="60" w:after="60"/>
        <w:jc w:val="center"/>
      </w:pPr>
      <w:r>
        <w:drawing>
          <wp:inline distT="0" distB="0" distL="0" distR="0">
            <wp:extent cx="5524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619375"/>
                    </a:xfrm>
                    <a:prstGeom prst="rect">
                      <a:avLst/>
                    </a:prstGeom>
                  </pic:spPr>
                </pic:pic>
              </a:graphicData>
            </a:graphic>
          </wp:inline>
        </w:drawing>
      </w:r>
    </w:p>
    <w:p>
      <w:pPr>
        <w:spacing w:before="40" w:after="160"/>
        <w:jc w:val="center"/>
      </w:pPr>
      <w:r>
        <w:rPr>
          <w:rFonts w:ascii="Arial" w:cs="Arial" w:eastAsia="Arial" w:hAnsi="Arial"/>
          <w:i/>
          <w:iCs/>
          <w:color w:val="777777"/>
          <w:sz w:val="18"/>
          <w:szCs w:val="18"/>
        </w:rPr>
        <w:t xml:space="preserve">SAP BTP — Détail de l'erreur avec identification du lot et de l'article</w:t>
      </w:r>
    </w:p>
    <w:p>
      <w:pPr>
        <w:spacing w:before="160" w:after="60"/>
      </w:pPr>
      <w:r>
        <w:rPr>
          <w:rFonts w:ascii="Arial" w:cs="Arial" w:eastAsia="Arial" w:hAnsi="Arial"/>
          <w:b/>
          <w:bCs/>
          <w:i/>
          <w:iCs/>
          <w:color w:val="555555"/>
          <w:sz w:val="20"/>
          <w:szCs w:val="20"/>
        </w:rPr>
        <w:t xml:space="preserve">  Capture 5 —</w:t>
      </w:r>
    </w:p>
    <w:p>
      <w:pPr>
        <w:spacing w:before="60" w:after="60"/>
        <w:jc w:val="center"/>
      </w:pPr>
      <w:r>
        <w:drawing>
          <wp:inline distT="0" distB="0" distL="0" distR="0">
            <wp:extent cx="5524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619375"/>
                    </a:xfrm>
                    <a:prstGeom prst="rect">
                      <a:avLst/>
                    </a:prstGeom>
                  </pic:spPr>
                </pic:pic>
              </a:graphicData>
            </a:graphic>
          </wp:inline>
        </w:drawing>
      </w:r>
    </w:p>
    <w:p>
      <w:pPr>
        <w:spacing w:before="40" w:after="160"/>
        <w:jc w:val="center"/>
      </w:pPr>
      <w:r>
        <w:rPr>
          <w:rFonts w:ascii="Arial" w:cs="Arial" w:eastAsia="Arial" w:hAnsi="Arial"/>
          <w:i/>
          <w:iCs/>
          <w:color w:val="777777"/>
          <w:sz w:val="18"/>
          <w:szCs w:val="18"/>
        </w:rPr>
        <w:t xml:space="preserve">Transaction VL02N — Correction du lot et de la quantité, puis post de la livraison</w:t>
      </w:r>
    </w:p>
    <w:p>
      <w:pPr>
        <w:spacing w:before="80" w:after="80"/>
      </w:pPr>
      <w:r>
        <w:t xml:space="preserve"/>
      </w:r>
    </w:p>
    <w:p>
      <w:pPr>
        <w:pStyle w:val="Heading1"/>
        <w:pBdr>
          <w:bottom w:val="single" w:color="1A5C38" w:sz="4" w:space="1"/>
        </w:pBdr>
        <w:spacing w:before="320" w:after="160"/>
      </w:pPr>
      <w:r>
        <w:rPr>
          <w:rFonts w:ascii="Arial" w:cs="Arial" w:eastAsia="Arial" w:hAnsi="Arial"/>
          <w:b/>
          <w:bCs/>
          <w:color w:val="1A5C38"/>
          <w:sz w:val="28"/>
          <w:szCs w:val="28"/>
        </w:rPr>
        <w:t xml:space="preserve">3. Types d'erreurs rencontrées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526"/>
        <w:gridCol w:w="2000"/>
      </w:tblGrid>
      <w:tr>
        <w:tc>
          <w:tcPr>
            <w:tcW w:type="dxa" w:w="35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Type d'erreur</w:t>
            </w:r>
          </w:p>
        </w:tc>
        <w:tc>
          <w:tcPr>
            <w:tcW w:type="dxa" w:w="3526"/>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20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5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r>
              <w:rPr>
                <w:rFonts w:ascii="Arial" w:cs="Arial" w:eastAsia="Arial" w:hAnsi="Arial"/>
                <w:sz w:val="20"/>
                <w:szCs w:val="20"/>
              </w:rPr>
              <w:t xml:space="preserve">Stock insuffisant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Aucun stock disponible pour l'article / lot concerné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Correction VL02N + repost</w:t>
            </w:r>
          </w:p>
        </w:tc>
      </w:tr>
      <w:tr>
        <w:tc>
          <w:tcPr>
            <w:tcW w:type="dxa" w:w="35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r>
              <w:rPr>
                <w:rFonts w:ascii="Arial" w:cs="Arial" w:eastAsia="Arial" w:hAnsi="Arial"/>
                <w:sz w:val="20"/>
                <w:szCs w:val="20"/>
              </w:rPr>
              <w:t xml:space="preserve">Article inconnu</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article SAP différent du code FM Logistic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Escalade mapping</w:t>
            </w:r>
          </w:p>
        </w:tc>
      </w:tr>
      <w:tr>
        <w:tc>
          <w:tcPr>
            <w:tcW w:type="dxa" w:w="35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r>
              <w:rPr>
                <w:rFonts w:ascii="Arial" w:cs="Arial" w:eastAsia="Arial" w:hAnsi="Arial"/>
                <w:sz w:val="20"/>
                <w:szCs w:val="20"/>
              </w:rPr>
              <w:t xml:space="preserve">Écart de stock</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Quantité confirmée ≠ quantité SAP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Analyse + escalade</w:t>
            </w:r>
          </w:p>
        </w:tc>
      </w:tr>
      <w:tr>
        <w:tc>
          <w:tcPr>
            <w:tcW w:type="dxa" w:w="35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r>
              <w:rPr>
                <w:rFonts w:ascii="Arial" w:cs="Arial" w:eastAsia="Arial" w:hAnsi="Arial"/>
                <w:sz w:val="20"/>
                <w:szCs w:val="20"/>
              </w:rPr>
              <w:t xml:space="preserve">Erreur de lot (batch)</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Lot incorrect ou inexistant dans SAP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Correction VL02N</w:t>
            </w:r>
          </w:p>
        </w:tc>
      </w:tr>
      <w:tr>
        <w:tc>
          <w:tcPr>
            <w:tcW w:type="dxa" w:w="35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r>
              <w:rPr>
                <w:rFonts w:ascii="Arial" w:cs="Arial" w:eastAsia="Arial" w:hAnsi="Arial"/>
                <w:sz w:val="20"/>
                <w:szCs w:val="20"/>
              </w:rPr>
              <w:t xml:space="preserve">Erreur de mapping EDI</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Problème de correspondance de champs inter-systèmes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Escalade équipe technique</w:t>
            </w:r>
          </w:p>
        </w:tc>
      </w:tr>
    </w:tbl>
    <w:p>
      <w:pPr>
        <w:spacing w:before="80" w:after="80"/>
      </w:pPr>
      <w:r>
        <w:t xml:space="preserve"/>
      </w:r>
    </w:p>
    <w:p>
      <w:pPr>
        <w:pStyle w:val="Heading1"/>
        <w:pBdr>
          <w:bottom w:val="single" w:color="1A5C38" w:sz="4" w:space="1"/>
        </w:pBdr>
        <w:spacing w:before="320" w:after="160"/>
      </w:pPr>
      <w:r>
        <w:rPr>
          <w:rFonts w:ascii="Arial" w:cs="Arial" w:eastAsia="Arial" w:hAnsi="Arial"/>
          <w:b/>
          <w:bCs/>
          <w:color w:val="1A5C38"/>
          <w:sz w:val="28"/>
          <w:szCs w:val="28"/>
        </w:rPr>
        <w:t xml:space="preserve">4. Procédure d'escalade</w:t>
      </w:r>
    </w:p>
    <w:p>
      <w:pPr>
        <w:spacing w:before="80" w:after="80"/>
      </w:pPr>
      <w:r>
        <w:rPr>
          <w:rFonts w:ascii="Arial" w:cs="Arial" w:eastAsia="Arial" w:hAnsi="Arial"/>
          <w:sz w:val="22"/>
          <w:szCs w:val="22"/>
        </w:rPr>
        <w:t xml:space="preserve">Lorsque l'erreur ne peut pas être résolue directement (niveau 2 ou technique), j'envoie un mail d'escalade structuré aux interlocuteurs compétents (équipe technique FMO, référents Kering Beauté, équipe FM Logistic) en précisant :</w:t>
      </w:r>
    </w:p>
    <w:p>
      <w:pPr>
        <w:pStyle w:val="ListParagraph"/>
        <w:numPr>
          <w:ilvl w:val="0"/>
          <w:numId w:val="2"/>
        </w:numPr>
        <w:spacing w:before="60" w:after="60"/>
      </w:pPr>
      <w:r>
        <w:rPr>
          <w:rFonts w:ascii="Arial" w:cs="Arial" w:eastAsia="Arial" w:hAnsi="Arial"/>
          <w:sz w:val="22"/>
          <w:szCs w:val="22"/>
        </w:rPr>
        <w:t xml:space="preserve">L'identifiant de la livraison en erreur</w:t>
      </w:r>
    </w:p>
    <w:p>
      <w:pPr>
        <w:pStyle w:val="ListParagraph"/>
        <w:numPr>
          <w:ilvl w:val="0"/>
          <w:numId w:val="2"/>
        </w:numPr>
        <w:spacing w:before="60" w:after="60"/>
      </w:pPr>
      <w:r>
        <w:rPr>
          <w:rFonts w:ascii="Arial" w:cs="Arial" w:eastAsia="Arial" w:hAnsi="Arial"/>
          <w:sz w:val="22"/>
          <w:szCs w:val="22"/>
        </w:rPr>
        <w:t xml:space="preserve">Le type d'anomalie détectée (extrait du Failed Message BTP)</w:t>
      </w:r>
    </w:p>
    <w:p>
      <w:pPr>
        <w:pStyle w:val="ListParagraph"/>
        <w:numPr>
          <w:ilvl w:val="0"/>
          <w:numId w:val="2"/>
        </w:numPr>
        <w:spacing w:before="60" w:after="60"/>
      </w:pPr>
      <w:r>
        <w:rPr>
          <w:rFonts w:ascii="Arial" w:cs="Arial" w:eastAsia="Arial" w:hAnsi="Arial"/>
          <w:sz w:val="22"/>
          <w:szCs w:val="22"/>
        </w:rPr>
        <w:t xml:space="preserve">Les vérifications déjà effectuées côté SAP</w:t>
      </w:r>
    </w:p>
    <w:p>
      <w:pPr>
        <w:pStyle w:val="ListParagraph"/>
        <w:numPr>
          <w:ilvl w:val="0"/>
          <w:numId w:val="2"/>
        </w:numPr>
        <w:spacing w:before="60" w:after="60"/>
      </w:pPr>
      <w:r>
        <w:rPr>
          <w:rFonts w:ascii="Arial" w:cs="Arial" w:eastAsia="Arial" w:hAnsi="Arial"/>
          <w:sz w:val="22"/>
          <w:szCs w:val="22"/>
        </w:rPr>
        <w:t xml:space="preserve">L'impact potentiel sur les opérations logistiques</w:t>
      </w:r>
    </w:p>
    <w:p>
      <w:pPr>
        <w:spacing w:before="80" w:after="80"/>
      </w:pPr>
      <w:r>
        <w:t xml:space="preserve"/>
      </w:r>
    </w:p>
    <w:p>
      <w:pPr>
        <w:pStyle w:val="Heading1"/>
        <w:pBdr>
          <w:bottom w:val="single" w:color="1A5C38" w:sz="4" w:space="1"/>
        </w:pBdr>
        <w:spacing w:before="320" w:after="160"/>
      </w:pPr>
      <w:r>
        <w:rPr>
          <w:rFonts w:ascii="Arial" w:cs="Arial" w:eastAsia="Arial" w:hAnsi="Arial"/>
          <w:b/>
          <w:bCs/>
          <w:color w:val="1A5C38"/>
          <w:sz w:val="28"/>
          <w:szCs w:val="28"/>
        </w:rPr>
        <w:t xml:space="preserve">5. Compétences du référentiel BTS SIO SISR mobilisées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326"/>
      </w:tblGrid>
      <w:tr>
        <w:tc>
          <w:tcPr>
            <w:tcW w:type="dxa" w:w="15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2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Compétence</w:t>
            </w:r>
          </w:p>
        </w:tc>
        <w:tc>
          <w:tcPr>
            <w:tcW w:type="dxa" w:w="5326"/>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Application dans la mission</w:t>
            </w:r>
          </w:p>
        </w:tc>
      </w:tr>
      <w:tr>
        <w:tc>
          <w:tcPr>
            <w:tcW w:type="dxa" w:w="15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r>
              <w:rPr>
                <w:rFonts w:ascii="Arial" w:cs="Arial" w:eastAsia="Arial" w:hAnsi="Arial"/>
                <w:b/>
                <w:bCs/>
                <w:color w:val="1A5C38"/>
                <w:sz w:val="20"/>
                <w:szCs w:val="20"/>
              </w:rPr>
              <w:t xml:space="preserve">B1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Gérer le patrimoine informatique</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Recensement et suivi des flux d'intégration SAP/3PL</w:t>
            </w:r>
          </w:p>
        </w:tc>
      </w:tr>
      <w:tr>
        <w:tc>
          <w:tcPr>
            <w:tcW w:type="dxa" w:w="15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r>
              <w:rPr>
                <w:rFonts w:ascii="Arial" w:cs="Arial" w:eastAsia="Arial" w:hAnsi="Arial"/>
                <w:b/>
                <w:bCs/>
                <w:color w:val="1A5C38"/>
                <w:sz w:val="20"/>
                <w:szCs w:val="20"/>
              </w:rPr>
              <w:t xml:space="preserve">B2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Répondre aux incidents</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Traitement quotidien des erreurs BTP, correction ou escalade</w:t>
            </w:r>
          </w:p>
        </w:tc>
      </w:tr>
      <w:tr>
        <w:tc>
          <w:tcPr>
            <w:tcW w:type="dxa" w:w="15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r>
              <w:rPr>
                <w:rFonts w:ascii="Arial" w:cs="Arial" w:eastAsia="Arial" w:hAnsi="Arial"/>
                <w:b/>
                <w:bCs/>
                <w:color w:val="1A5C38"/>
                <w:sz w:val="20"/>
                <w:szCs w:val="20"/>
              </w:rPr>
              <w:t xml:space="preserve">B5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Mettre à disposition un service</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Maintien de la disponibilité des flux logistiques</w:t>
            </w:r>
          </w:p>
        </w:tc>
      </w:tr>
      <w:tr>
        <w:tc>
          <w:tcPr>
            <w:tcW w:type="dxa" w:w="15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r>
              <w:rPr>
                <w:rFonts w:ascii="Arial" w:cs="Arial" w:eastAsia="Arial" w:hAnsi="Arial"/>
                <w:b/>
                <w:bCs/>
                <w:color w:val="1A5C38"/>
                <w:sz w:val="20"/>
                <w:szCs w:val="20"/>
              </w:rPr>
              <w:t xml:space="preserve">B6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Développement professionnel</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Autonomie, rigueur, communication technique (mails d'escalade)</w:t>
            </w:r>
          </w:p>
        </w:tc>
      </w:tr>
    </w:tbl>
    <w:p>
      <w:pPr>
        <w:spacing w:before="80" w:after="80"/>
      </w:pPr>
      <w:r>
        <w:t xml:space="preserve"/>
      </w:r>
    </w:p>
    <w:p>
      <w:pPr>
        <w:spacing w:before="80" w:after="80"/>
      </w:pPr>
      <w:r>
        <w:t xml:space="preserve"/>
      </w:r>
    </w:p>
    <w:p>
      <w:pPr>
        <w:pBdr>
          <w:top w:val="single" w:color="CCCCCC" w:sz="2" w:space="1"/>
        </w:pBdr>
        <w:spacing w:before="240" w:after="0"/>
        <w:jc w:val="center"/>
      </w:pPr>
      <w:r>
        <w:rPr>
          <w:rFonts w:ascii="Arial" w:cs="Arial" w:eastAsia="Arial" w:hAnsi="Arial"/>
          <w:i/>
          <w:iCs/>
          <w:color w:val="999999"/>
          <w:sz w:val="18"/>
          <w:szCs w:val="18"/>
        </w:rPr>
        <w:t xml:space="preserve">MONTEIRO Noa — FMO Consulting — BTS SIO SISR Session 2026</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5C38"/>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D5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8b74abd15ba8f0ead51a0dd48ffcd945e1a6baf.png"/><Relationship Id="rId7" Type="http://schemas.openxmlformats.org/officeDocument/2006/relationships/image" Target="media/7ae9ba1299b2efd41d64ca19d9aa08ed4e1c6add.png"/><Relationship Id="rId8" Type="http://schemas.openxmlformats.org/officeDocument/2006/relationships/image" Target="media/0e35443831bb8816b640db6531934607b1babcc8.png"/><Relationship Id="rId9" Type="http://schemas.openxmlformats.org/officeDocument/2006/relationships/image" Target="media/bd212e84f71d2a6295a56d7c99cf1201d75ede9f.png"/><Relationship Id="rId10" Type="http://schemas.openxmlformats.org/officeDocument/2006/relationships/image" Target="media/87df728795bfeb9e4a5cb74d701852c33c7f9437.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2026-03-19T14:52:24.473Z</dcterms:created>
  <dcterms:modified xsi:type="dcterms:W3CDTF">2026-03-19T14:52:24.474Z</dcterms:modified>
</cp:coreProperties>
</file>

<file path=docProps/custom.xml><?xml version="1.0" encoding="utf-8"?>
<Properties xmlns="http://schemas.openxmlformats.org/officeDocument/2006/custom-properties" xmlns:vt="http://schemas.openxmlformats.org/officeDocument/2006/docPropsVTypes"/>
</file>