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Air Quality Management System (AQM) Development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Project 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Air Quality Management System (AQM) project aims to develop a comprehensive system for monitoring, analyzing, and managing air quality. This system will provide real-time data on air quality, support decision-making for pollution control, and enhance public awareness of environmental conditions.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Project Objectives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Data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1.Develop a network of air quality monitoring stations to collect real-time data on various air pollutants, including PM2.5, PM10, CO, NO2, SO2, O3, and VOCs.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Integrate data from existing environmental monitoring sources and sensors.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 Analysis and Modeling: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2.Implement algorithms and models to process and analyze collected data.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predictive models for air quality, which can forecast pollution levels based on historical data and meteorological factors.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User-Friendly Dashboard: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3.Design a user-friendly web and mobile application for accessing air quality information.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Provide interactive maps, charts, and graphs to visualize air quality data.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Alerts and Notifications: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4.Implement an alert system that notifies users when air quality exceeds predefined thresholds.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Suggest precautions and actions to be taken during poor air quality periods.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 Sharing and API: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5.Develop an API for sharing air quality data with government agencies, researchers, and other interested parties.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Encourage third-party developers to create applications that utilize AQM data.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Awareness and Education: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6.Create educational materials to raise public awareness about the impact of air quality on health.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Organize community outreach programs and workshops.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Regulatory Compliance: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7.Ensure that the system complies with local and international environmental regulations and standards.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Sustainability: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8.Plan for the long-term operation and maintenance of monitoring stations and data infrastructure.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Explore renewable energy sources to power monitoring stations.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Project Phases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Planning and Feasibility Study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•Define project scope and objectives.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Conduct a feasibility study, including resource and budget requirements.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Obtain necessary permits and approvals.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System Development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•Set up air quality monitoring stations and data infrastructure.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Develop algorithms and models for data analysis.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Design the user interface for the web and mobile applications.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Testing and Optimization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•Test the system for accuracy and reliability.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Optimize data processing and analysis algorithms.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•Roll out monitoring stations and make the system accessible to the public.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Monitoring and Maintenance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•Monitor the system's performance.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Conduct routine maintenance and upgrades.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Engagement and Education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•Launch awareness campaigns and educational programs.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Data Sharing and Collaboration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•Establish collaborations with relevant stakeholders.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Promote third-party app development using the AQM API.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Regulatory Compliance and Reporting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•Ensure the system meets all regulatory requirements.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Prepare and submit required reports to regulatory bodies.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Project Team: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•Project Manager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•Environmental Scientists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•Data Analysts and Modelers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•Software Developers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•User Interface Designers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•Public Relations and Outreach Specialists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•Legal and Compliance Experts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•Budget and Resources: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•Funding sources (government grants, private sector investment, etc.)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Equipment and sensors for monitoring stations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Development and maintenance costs for software and infrastructure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Personnel salaries and training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 awareness campaigns and educational materials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Timelines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•Project initiation to completion: 2-3 years (may vary based on the project's scale)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 Air Quality Management System (AQM) project will have a significant positive impact on public health and the environment by providing crucial air quality information, fostering awareness, and supporting pollution control efforts.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