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8791A"/>
          <w:sz w:val="16"/>
          <w:szCs w:val="16"/>
        </w:rPr>
        <w:t xml:space="preserve">CREDIT &amp; FRAUD RISK — ANALYTICS CASE STUDY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Credit Risk Segmentation &amp; Data Quality Audit</w:t>
      </w:r>
    </w:p>
    <w:p>
      <w:pPr>
        <w:spacing w:after="180"/>
      </w:pPr>
      <w:r>
        <w:rPr>
          <w:i/>
          <w:iCs/>
          <w:color w:val="5A6B8C"/>
          <w:sz w:val="20"/>
          <w:szCs w:val="20"/>
        </w:rPr>
        <w:t xml:space="preserve">Data governance and risk-tier segmentation built on 150,000 real credit customer records (Kaggle "Give Me Some Credit" dataset)</w:t>
      </w:r>
    </w:p>
    <w:p>
      <w:pPr>
        <w:pBdr>
          <w:bottom w:val="single" w:color="CCCCCC" w:sz="6"/>
        </w:pBd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2A4A"/>
                <w:sz w:val="26"/>
                <w:szCs w:val="26"/>
              </w:rPr>
              <w:t xml:space="preserve">150,000</w:t>
            </w:r>
          </w:p>
          <w:p>
            <w:pPr>
              <w:jc w:val="center"/>
            </w:pPr>
            <w:r>
              <w:rPr>
                <w:color w:val="5A6B8C"/>
                <w:sz w:val="15"/>
                <w:szCs w:val="15"/>
              </w:rPr>
              <w:t xml:space="preserve">Customers analyzed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8791A"/>
                <w:sz w:val="26"/>
                <w:szCs w:val="26"/>
              </w:rPr>
              <w:t xml:space="preserve">19.8%</w:t>
            </w:r>
          </w:p>
          <w:p>
            <w:pPr>
              <w:jc w:val="center"/>
            </w:pPr>
            <w:r>
              <w:rPr>
                <w:color w:val="5A6B8C"/>
                <w:sz w:val="15"/>
                <w:szCs w:val="15"/>
              </w:rPr>
              <w:t xml:space="preserve">Missing income data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D7A5C"/>
                <w:sz w:val="26"/>
                <w:szCs w:val="26"/>
              </w:rPr>
              <w:t xml:space="preserve">0.856</w:t>
            </w:r>
          </w:p>
          <w:p>
            <w:pPr>
              <w:jc w:val="center"/>
            </w:pPr>
            <w:r>
              <w:rPr>
                <w:color w:val="5A6B8C"/>
                <w:sz w:val="15"/>
                <w:szCs w:val="15"/>
              </w:rPr>
              <w:t xml:space="preserve">Model ROC-AUC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D7A5C"/>
                <w:sz w:val="26"/>
                <w:szCs w:val="26"/>
              </w:rPr>
              <w:t xml:space="preserve">39x</w:t>
            </w:r>
          </w:p>
          <w:p>
            <w:pPr>
              <w:jc w:val="center"/>
            </w:pPr>
            <w:r>
              <w:rPr>
                <w:color w:val="5A6B8C"/>
                <w:sz w:val="15"/>
                <w:szCs w:val="15"/>
              </w:rPr>
              <w:t xml:space="preserve">Risk tier spread</w:t>
            </w:r>
          </w:p>
        </w:tc>
      </w:tr>
    </w:tbl>
    <w:p>
      <w:pPr>
        <w:pBdr>
          <w:bottom w:val="single" w:color="1B2A4A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OBJECTIVE</w:t>
      </w:r>
    </w:p>
    <w:p>
      <w:pPr>
        <w:spacing w:after="120"/>
      </w:pPr>
      <w:r>
        <w:rPr>
          <w:sz w:val="20"/>
          <w:szCs w:val="20"/>
        </w:rPr>
        <w:t xml:space="preserve">Build a credit risk segmentation pipeline that leads with data governance rather than jumping straight to modeling — auditing data quality first, documenting every issue found and the reasoning behind each fix, then segmenting customers into actionable risk tiers.</w:t>
      </w:r>
    </w:p>
    <w:p>
      <w:pPr>
        <w:pBdr>
          <w:bottom w:val="single" w:color="1B2A4A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Data quality audit (SQL).</w:t>
      </w:r>
      <w:r>
        <w:rPr>
          <w:sz w:val="20"/>
          <w:szCs w:val="20"/>
        </w:rPr>
        <w:t xml:space="preserve"> ran a systematic SQL audit across all 150,000 records before any modeling: missing-value rates, impossible values (age = 0), sentinel/error codes in categorical fields, and out-of-range ratios. Every issue was quantified and a specific remediation decision documented — impute, cap, or remove — rather than blanket-dropping rows.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Modeling (Python / scikit-learn).</w:t>
      </w:r>
      <w:r>
        <w:rPr>
          <w:sz w:val="20"/>
          <w:szCs w:val="20"/>
        </w:rPr>
        <w:t xml:space="preserve"> trained a Logistic Regression model (class-weight balanced) on the cleaned data to estimate default probability per customer, achieving 0.856 ROC-AUC. Customers were then split into 5 equal-size risk tiers by predicted probability.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Validation.</w:t>
      </w:r>
      <w:r>
        <w:rPr>
          <w:sz w:val="20"/>
          <w:szCs w:val="20"/>
        </w:rPr>
        <w:t xml:space="preserve"> default rate increases monotonically across tiers, from 0.60% (Very Low) to 23.38% (Very High) — a 39x spread confirming the segmentation genuinely separates risk rather than just reordering noise.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Communication.</w:t>
      </w:r>
      <w:r>
        <w:rPr>
          <w:sz w:val="20"/>
          <w:szCs w:val="20"/>
        </w:rPr>
        <w:t xml:space="preserve"> all findings compiled into a dashboard showing the data quality audit trail, risk tier default rates, and the strongest individual risk drivers (payment history and credit utilization dominate).</w:t>
      </w:r>
    </w:p>
    <w:p>
      <w:pPr>
        <w:pBdr>
          <w:bottom w:val="single" w:color="1B2A4A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Missing data at scale:</w:t>
      </w:r>
      <w:r>
        <w:rPr>
          <w:sz w:val="20"/>
          <w:szCs w:val="20"/>
        </w:rPr>
        <w:t xml:space="preserve"> 19.8% of records were missing MonthlyIncome and 2.6% were missing NumberOfDependents. Both were imputed rather than dropped, since dropping would have discarded 20%+ of the dataset and likely biased it toward customers who fully disclose income.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Corrupted sentinel codes carry real signal:</w:t>
      </w:r>
      <w:r>
        <w:rPr>
          <w:sz w:val="20"/>
          <w:szCs w:val="20"/>
        </w:rPr>
        <w:t xml:space="preserve"> values of 96 and 98 appeared in the payment-history fields for 269 customers — not real payment counts, but data-entry sentinel codes. These customers were not dropped: they showed a 54.65% default rate, meaning the sentinel itself correlates with risk and needed to be preserved as signal, not discarded as noise.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Out-of-range values:</w:t>
      </w:r>
      <w:r>
        <w:rPr>
          <w:sz w:val="20"/>
          <w:szCs w:val="20"/>
        </w:rPr>
        <w:t xml:space="preserve"> a ratio field that should logically sit between 0 and 1 had values up to 50,708, and DebtRatio (also expected to be a small ratio) had a maximum of 329,664 — clear data corruption requiring capping rather than blind trust in raw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0"/>
          <w:szCs w:val="20"/>
        </w:rPr>
        <w:t xml:space="preserve">Risk drivers:</w:t>
      </w:r>
      <w:r>
        <w:rPr>
          <w:sz w:val="20"/>
          <w:szCs w:val="20"/>
        </w:rPr>
        <w:t xml:space="preserve"> payment history is by far the strongest driver of default — customers with 6+ instances of 90-day-late payments default at 66.48% vs. 4.63% for those with a clean history, a 14x gap. Age is the second-strongest signal, with risk falling steadily from 11.73% (18-29) to 2.32% (70+).</w:t>
      </w:r>
    </w:p>
    <w:p>
      <w:pPr>
        <w:pBdr>
          <w:bottom w:val="single" w:color="1B2A4A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TECH STACK</w:t>
      </w:r>
    </w:p>
    <w:p>
      <w:pPr>
        <w:spacing w:after="120"/>
      </w:pPr>
      <w:r>
        <w:rPr>
          <w:color w:val="5A6B8C"/>
          <w:sz w:val="20"/>
          <w:szCs w:val="20"/>
        </w:rPr>
        <w:t xml:space="preserve">SQL (SQLite) · Python (pandas, scikit-learn) · Chart.js dashboard · Dataset: "Give Me Some Credit" (Kaggle)</w:t>
      </w:r>
    </w:p>
    <w:p>
      <w:pPr>
        <w:pBdr>
          <w:bottom w:val="single" w:color="CCCCCC" w:sz="6"/>
        </w:pBdr>
        <w:spacing w:after="200"/>
      </w:pPr>
    </w:p>
    <w:p>
      <w:r>
        <w:rPr>
          <w:i/>
          <w:iCs/>
          <w:color w:val="8492AC"/>
          <w:sz w:val="16"/>
          <w:szCs w:val="16"/>
        </w:rPr>
        <w:t xml:space="preserve">Prepared as a portfolio project for American Express Credit &amp; Fraud Risk Apprenticeship application.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2026-07-19T10:03:01.958Z</dcterms:created>
  <dcterms:modified xsi:type="dcterms:W3CDTF">2026-07-19T10:03:01.967Z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