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Symmetry-Aware Visual Navigation for Autonomous Inspection of Offshore Jacket Structures</w:t>
      </w:r>
    </w:p>
    <w:p>
      <w:pPr>
        <w:spacing w:after="160"/>
        <w:jc w:val="center"/>
      </w:pPr>
      <w:r>
        <w:rPr>
          <w:i/>
        </w:rPr>
        <w:t>Working title. Draft — Introduction and Literature Survey only.</w:t>
      </w:r>
    </w:p>
    <w:p>
      <w:pPr>
        <w:spacing w:after="160"/>
      </w:pPr>
      <w:r>
        <w:rPr>
          <w:i/>
          <w:color w:val="A03000"/>
        </w:rPr>
        <w:t>Drafted 2026-10-14; Introduction and status note rewritten 2026-10-17 around the loop-closure result (docs/paper/section_closure_events.md). Every bracketed citation is from recall and MUST be checked against the actual paper before submission — authors, venue, year and, above all, that the paper says what it is cited for. The offshore-wind and industry-statistics citations are the least reliable and should be replaced with sources you have read. See the status note at the end for which of our own results are settled and which are not.</w:t>
      </w:r>
    </w:p>
    <w:p>
      <w:pPr>
        <w:pStyle w:val="Heading1"/>
      </w:pPr>
      <w:r>
        <w:t>1. Introduction</w:t>
      </w:r>
    </w:p>
    <w:p>
      <w:pPr>
        <w:spacing w:after="160"/>
      </w:pPr>
      <w:r>
        <w:rPr>
          <w:i w:val="0"/>
        </w:rPr>
        <w:t>Fixed-bottom offshore wind has moved from demonstrator scale to a core component of electricity supply in Europe and East Asia, and with it has come a maintenance obligation that grows with the installed base rather than with new construction. A jacket or monopile foundation must be surveyed on a recurring cycle for scour, marine growth, coating loss, weld condition and anode depletion. The work is done below the waterline, frequently in turbid coastal water, and it is today performed largely by work-class remotely operated vehicles flown by a pilot from a support vessel. The vessel, not the vehicle, dominates the cost, and the vessel is needed chiefly because a human is in the loop. Removing the pilot — replacing a teleoperated ROV with a resident or free-swimming autonomous underwater vehicle that executes the survey itself — is therefore the single change with the largest effect on inspection economics [1], [2].</w:t>
      </w:r>
    </w:p>
    <w:p>
      <w:pPr>
        <w:spacing w:after="160"/>
      </w:pPr>
      <w:r>
        <w:rPr>
          <w:i w:val="0"/>
        </w:rPr>
        <w:t>Autonomy of that kind is limited by navigation rather than by perception or control. An inspection trajectory is not a transit: the vehicle must hold a commanded standoff from a steel structure, typically of the order of ten to twenty metres for a sonar-and-camera survey and a few metres for close visual inspection, while traversing the asset face by face. A position error that would be irrelevant during transit becomes a collision with a structural member, and a heading error of the wrong magnitude puts the sensor payload on the wrong face entirely. The vehicle must therefore know where it is, continuously, to a tolerance set by the structure's own geometry.</w:t>
      </w:r>
    </w:p>
    <w:p>
      <w:pPr>
        <w:spacing w:after="160"/>
      </w:pPr>
      <w:r>
        <w:rPr>
          <w:i w:val="0"/>
        </w:rPr>
        <w:t>Underwater, it cannot be told. Radio-frequency positioning does not propagate: GNSS is unavailable below the surface, and the usual substitutes are acoustic. Long-baseline positioning requires a pre-deployed and surveyed array of seabed transponders; ultra-short-baseline positioning requires a surface vessel station-keeping above the vehicle with a hull-mounted transceiver [3], [4]. Both work, both are standard industrial practice, and both reintroduce precisely the surface asset whose elimination motivated the autonomy in the first place. A genuinely autonomous inspection vehicle must navigate from onboard sensing alone.</w:t>
      </w:r>
    </w:p>
    <w:p>
      <w:pPr>
        <w:spacing w:after="160"/>
      </w:pPr>
      <w:r>
        <w:rPr>
          <w:i w:val="0"/>
        </w:rPr>
        <w:t>Two onboard modalities are available and neither is sufficient by itself. A Doppler velocity log, integrated with attitude from an inertial measurement unit and depth from a pressure sensor, gives dead reckoning whose error is bounded in the vertical and unbounded in the horizontal. Crucially, the dominant horizontal terms are not white noise but fixed properties of the installed unit — a scale-factor error on each beam and a mechanical misalignment between the transducer frame and the vehicle frame — so the resulting position error grows linearly with distance travelled rather than with the square root of elapsed time [4], [5]. No amount of averaging removes it. Visual simultaneous localisation and mapping, by contrast, can in principle bound the error completely: a vehicle that recognises a place it has already mapped can close a loop and redistribute the accumulated drift across the trajectory [6], [7]. For an inspection mission this is an unusually good fit, because the mission is a loop by construction — the vehicle orbits a structure and returns to where it began.</w:t>
      </w:r>
    </w:p>
    <w:p>
      <w:pPr>
        <w:spacing w:after="160"/>
      </w:pPr>
      <w:r>
        <w:rPr>
          <w:i w:val="0"/>
        </w:rPr>
        <w:t>That argument is the standard one, and it contains a flaw specific to the asset class. Jacket foundations are lattices of tubular steel with three, four or more legs, and four-legged designs with a repeating bracing pattern are common; the primary steel of such a structure is close to four-fold symmetric about its vertical axis. Appurtenances such as boat landings, cable tubes, ladders and anodes break that symmetry to a degree that varies between structures, and how much they matter is an open question that we do not resolve here. In the idealised case the four faces are, to engineering tolerance, geometrically interchangeable, which we confirm from the CAD model and from sonar. A place-recognition system, whether it matches appearance through a visual vocabulary or geometry through point-cloud registration, is therefore being asked to tell apart views that the structure's designer deliberately made identical. Perceptual aliasing of this kind is well known in general terms [8], [23]. What is specific here is that it can be predicted from the engineering drawing before the vehicle enters the water, and that it has a precise geometric signature: a wrong-face match is the correct estimate rotated about the structure's vertical axis by a multiple of ninety degrees, with its distance from the axis unchanged.</w:t>
      </w:r>
    </w:p>
    <w:p>
      <w:pPr>
        <w:spacing w:after="160"/>
      </w:pPr>
      <w:r>
        <w:rPr>
          <w:i w:val="0"/>
        </w:rPr>
        <w:t>We tested whether that signature occurs. We recorded every loop closure that an off-the-shelf stereo SLAM front end made in eleven simulated inspection missions and classified each by the correction it imposed. Of twelve closures, six were small drift corrections of under two metres and a few degrees. Five were wrong-face closures: each rotated the estimate about the structure's axis by 90 degrees (once by 180) to within 2.5 degrees, preserved its radius to within three per cent, and moved it by 24 to 33 m. The ground-truth trajectory confirms this reading. At every wrong-face closure the vehicle's true position was at least 18 m from anywhere it had been, while the corrected estimate was placed within 0.3 m of somewhere it had; at every small correction the vehicle was back somewhere it had been. The closure logs show at least five of 28 missions affected. In all five affected missions the aligned SLAM position was wrong by a median of 13 to 33 m in the two minutes after the closure, against a fit of 0.3 to 0.7 m before it, and the map re-initialised at least once afterwards.</w:t>
      </w:r>
    </w:p>
    <w:p>
      <w:pPr>
        <w:spacing w:after="160"/>
      </w:pPr>
      <w:r>
        <w:rPr>
          <w:i w:val="0"/>
        </w:rPr>
        <w:t>The consequence is less obvious than the failure. On the missions studied here, a single orbit of about 130 m, dead reckoning from the Doppler velocity log alone holds horizontal error to roughly 0.2 m RMS, even with a datasheet error model on the log and a gyro that drifts at three degrees per hour. A heading error displaces an estimate in proportion to its distance from where heading was last known, and an orbit never takes the vehicle far from where it began. Fusing the SLAM pose into the filter made the estimate worse, not better, and with it the sonar model of the structure that the vehicle exists to produce: dead reckoning reconstructs it to about 0.1 m against the CAD model, and the corrected fused filter to 0.4 and 1.8 m in the two recordings made with it. The case for visual SLAM on a mission of this length therefore cannot rest on accuracy. It rests on missions long enough, or vehicles poorly enough instrumented, that dead reckoning stops being sufficient, and on the assumption that SLAM does no harm in the meantime. This paper examines that assumption.</w:t>
      </w:r>
    </w:p>
    <w:p>
      <w:pPr>
        <w:spacing w:after="160"/>
      </w:pPr>
      <w:r>
        <w:rPr>
          <w:i w:val="0"/>
        </w:rPr>
        <w:t>Two further findings concern measurement rather than navigation, and we report them because they changed our diagnosis. First, the conventional way of aligning a SLAM map to the world frame, by correlating the SLAM trajectory against the output of the filter that consumes it, is unfalsifiable: the alignment is fitted against a quantity it determines, so it agrees with itself whether or not it is right. Removing the circularity with a SLAM-free reference filter changed the final error of an otherwise identical run from 41 m to 1.7 m. Second, the SLAM wrapper publishes in the east-north-up convention while the navigation stack uses north-east-down. The conversion flips the handedness of the horizontal plane, which no rotation-only alignment can absorb. Until it was corrected the SLAM track appeared to bear no fixed relation to the world, and we attributed the failure to continuous drift of the alignment. With the convention corrected that drift disappears: in the 150 s before the first closure of each mission the SLAM track fits the true trajectory to within 0.6 m, and the failure is the discrete event described above.</w:t>
      </w:r>
    </w:p>
    <w:p>
      <w:pPr>
        <w:spacing w:after="160"/>
      </w:pPr>
      <w:r>
        <w:rPr>
          <w:i w:val="0"/>
        </w:rPr>
        <w:t>This leads to the position this paper takes. A known symmetry should be characterised before it is suffered. An inspection vehicle, unlike a general-purpose SLAM platform, always knows what it is inspecting; a CAD model of the asset exists before the mission is planned, and generic SLAM discards that prior. Rejecting false loop closures is itself an established problem, addressed by robust back-ends [33], [34] and by consistency checks among closures [35]; what we ask is whether a known symmetry of the target offers a sharper test. We quantify the symmetry of the target as an a-priori index computed from the model, and we argue that a correction whose geometry corresponds to a symmetry operation of the structure should be arbitrated by a modality that is blind to appearance: dead reckoning and depth, which cannot be fooled by a face that looks like another face. We establish the premise of that argument, that the hazard is real, frequent and identifiable from the correction alone. We do not evaluate the arbitration itself, and we do not show that the hazard falls as the structure is made less symmetric; that test is pre-registered, and Section 7 explains why it is not reported here.</w:t>
      </w:r>
    </w:p>
    <w:p>
      <w:pPr>
        <w:spacing w:after="160"/>
      </w:pPr>
      <w:r>
        <w:rPr>
          <w:i w:val="0"/>
        </w:rPr>
        <w:t>The contributions of this paper are:</w:t>
      </w:r>
    </w:p>
    <w:p>
      <w:pPr>
        <w:pStyle w:val="ListBullet"/>
      </w:pPr>
      <w:r>
        <w:t>A simulation testbed for GNSS-denied inspection of a symmetric offshore structure, in which the Doppler velocity log carries a datasheet-grounded systematic error model, a per-unit scale factor and beam misalignment drawn once from a seed, rather than the zero-mean white noise typically simulated, so that dead-reckoning error grows with distance as it does at sea.</w:t>
      </w:r>
    </w:p>
    <w:p>
      <w:pPr>
        <w:pStyle w:val="ListBullet"/>
      </w:pPr>
      <w:r>
        <w:t>A measurement methodology for SLAM-aided navigation: a SLAM-free reference filter that makes the alignment falsifiable, and the diagnosis of two defects, a circular alignment and an unconverted frame convention, that together made a discrete failure look like continuous drift.</w:t>
      </w:r>
    </w:p>
    <w:p>
      <w:pPr>
        <w:pStyle w:val="ListBullet"/>
      </w:pPr>
      <w:r>
        <w:t>A model-derived symmetry index for the inspection target, and measurement of the geometric interchangeability of jacket faces independently from sonar and from CAD.</w:t>
      </w:r>
    </w:p>
    <w:p>
      <w:pPr>
        <w:pStyle w:val="ListBullet"/>
      </w:pPr>
      <w:r>
        <w:t>An event-level characterisation of loop closure on a four-fold symmetric structure: a classification rule fixed in advance, twelve closures from eleven missions, five of them wrong-face rotations of the estimate about the structure's axis, each confirmed against the ground-truth trajectory.</w:t>
      </w:r>
    </w:p>
    <w:p>
      <w:pPr>
        <w:pStyle w:val="ListBullet"/>
      </w:pPr>
      <w:r>
        <w:t>An inspection-product evaluation: the structure reconstructed from the vehicle's own sonar under each navigation source and scored against its CAD model. Dead reckoning reconstructs it to a median of 11 cm RMS against a sensor floor of 7 cm; a vehicle trusting SLAM through a wrong-face closure reconstructs it to 3.8 to 7.5 m.</w:t>
      </w:r>
    </w:p>
    <w:p>
      <w:pPr>
        <w:pStyle w:val="ListBullet"/>
      </w:pPr>
      <w:r>
        <w:t>Evidence that on a single-orbit inspection mission dead reckoning is accurate to a fraction of a metre and that fusing SLAM, as commonly done, degrades it, together with the geometric reason heading drift matters little on such a mission.</w:t>
      </w:r>
    </w:p>
    <w:p>
      <w:pPr>
        <w:spacing w:after="160"/>
      </w:pPr>
      <w:r>
        <w:rPr>
          <w:i/>
          <w:color w:val="A03000"/>
        </w:rPr>
        <w:t>Drafting note 2026-10-17. The symmetry-aware gate was listed here as a contribution and is removed because it has not been built; restore it only if it is built and measured before submission. The dose-response (does the hazard fall as symmetry falls) is pre-registered in docs/experiments/PREREG_closure_events.md and not run. The working title promises a method; consider retitling to match what is shown, for example one that names loop closure on symmetric subsea structures. Numbers in this Introduction come from docs/paper/section_closure_events.md and eval/closure_events.py.</w:t>
      </w:r>
    </w:p>
    <w:p>
      <w:pPr>
        <w:spacing w:after="160"/>
      </w:pPr>
      <w:r>
        <w:rPr>
          <w:i w:val="0"/>
        </w:rPr>
        <w:t>Section 2 reviews underwater navigation, visual SLAM and its underwater difficulties, place recognition, and current evaluation practice, and identifies the gap this work addresses. Section 3 describes the vehicle, the simulated environment, the sensor error models and the navigation architecture, including the SLAM-free reference filter. Section 4 sets out how loop closures are located and classified. Section 5 gives the experimental protocol. Section 6 reports results: dead-reckoning accuracy, the closure events and their cost. Section 7 discusses their limits and the remedy.</w:t>
      </w:r>
    </w:p>
    <w:p>
      <w:pPr>
        <w:pStyle w:val="Heading1"/>
      </w:pPr>
      <w:r>
        <w:t>2. Background and Related Work</w:t>
      </w:r>
    </w:p>
    <w:p>
      <w:pPr>
        <w:pStyle w:val="Heading2"/>
      </w:pPr>
      <w:r>
        <w:t>2.1 Navigation without a position fix</w:t>
      </w:r>
    </w:p>
    <w:p>
      <w:pPr>
        <w:spacing w:after="160"/>
      </w:pPr>
      <w:r>
        <w:rPr>
          <w:i w:val="0"/>
        </w:rPr>
        <w:t>Underwater navigation is conventionally divided by whether an external position reference is available. Acoustic positioning supplies one. Long-baseline systems trilaterate against a surveyed array of seabed transponders and deliver metre-or-better accuracy that does not degrade with time, at the cost of deploying, calibrating and recovering the array. Ultra-short-baseline systems place a transceiver on a surface vessel and measure range and bearing to a vehicle-mounted beacon, trading array logistics for a persistent surface presence and an accuracy that degrades with slant range. Reviews by Kinsey et al. [3] and Paull et al. [4] remain the standard treatments and set out the trade space in detail. Both families are mature and neither is compatible with the economic argument for autonomy, since each restores an asset at the surface or on the seabed whose cost the autonomy was intended to avoid.</w:t>
      </w:r>
    </w:p>
    <w:p>
      <w:pPr>
        <w:spacing w:after="160"/>
      </w:pPr>
      <w:r>
        <w:rPr>
          <w:i w:val="0"/>
        </w:rPr>
        <w:t>The alternative is to navigate from proprioception and from what the vehicle can itself perceive. This is the regime addressed here, and it is where the accuracy requirement of close-standoff inspection collides with the error characteristics of the available sensors.</w:t>
      </w:r>
    </w:p>
    <w:p>
      <w:pPr>
        <w:pStyle w:val="Heading2"/>
      </w:pPr>
      <w:r>
        <w:t>2.2 Dead reckoning and the structure of its error</w:t>
      </w:r>
    </w:p>
    <w:p>
      <w:pPr>
        <w:spacing w:after="160"/>
      </w:pPr>
      <w:r>
        <w:rPr>
          <w:i w:val="0"/>
        </w:rPr>
        <w:t>The Doppler velocity log is the workhorse of underwater dead reckoning. By measuring the Doppler shift of acoustic returns from the seabed along typically four slanted beams, it resolves vehicle velocity in the instrument frame; combined with attitude and heading from an inertial sensor and with depth from pressure, it yields a dead-reckoned position whose vertical component is effectively bounded and whose horizontal component is not [4], [5].</w:t>
      </w:r>
    </w:p>
    <w:p>
      <w:pPr>
        <w:spacing w:after="160"/>
      </w:pPr>
      <w:r>
        <w:rPr>
          <w:i w:val="0"/>
        </w:rPr>
        <w:t>The way that horizontal error grows matters for how it should be simulated, and it is frequently misrepresented. Treating the velocity measurement as corrupted by zero-mean white noise produces a random walk whose error grows as the square root of elapsed time and whose sign wanders. Real instruments are dominated instead by two terms that are fixed for a given unit and installation: a scale-factor error, quoted by manufacturers at the order of one per cent of measured velocity for commercial units, and a misalignment between the transducer and vehicle frames of the order of a degree. Both integrate linearly with distance travelled and neither averages out. A simulation that omits them will report dead-reckoning performance that cannot be reproduced at sea, and will make any SLAM aiding appear less necessary than it is. We adopt a model in which both terms are drawn once per simulated unit from a seed, so that a seed sweep samples the population of instruments rather than the noise on one.</w:t>
      </w:r>
    </w:p>
    <w:p>
      <w:pPr>
        <w:pStyle w:val="Heading2"/>
      </w:pPr>
      <w:r>
        <w:t>2.3 Visual SLAM and the ORB-SLAM family</w:t>
      </w:r>
    </w:p>
    <w:p>
      <w:pPr>
        <w:spacing w:after="160"/>
      </w:pPr>
      <w:r>
        <w:rPr>
          <w:i w:val="0"/>
        </w:rPr>
        <w:t>Feature-based visual SLAM reached practical maturity with ORB-SLAM [6], which combined ORB features [10] with a covisibility graph, local bundle adjustment, and appearance-based loop closure over a bag-of-binary-words vocabulary [11]. ORB-SLAM2 [12] extended it to stereo and RGB-D, removing the scale ambiguity of the monocular case — a stereo rig with a calibrated baseline observes metric scale directly. ORB-SLAM3 [7] added visual-inertial operation and, most relevantly here, the Atlas multi-map representation: when tracking is lost the system begins a new map rather than attempting to recover within the old one, and merges maps later if a place is recognised across them. This is a considerable robustness gain in environments where tracking loss is routine, but it has a consequence that matters for anyone consuming the pose output, namely that the frame in which poses are expressed is not guaranteed to persist across a mission.</w:t>
      </w:r>
    </w:p>
    <w:p>
      <w:pPr>
        <w:spacing w:after="160"/>
      </w:pPr>
      <w:r>
        <w:rPr>
          <w:i w:val="0"/>
        </w:rPr>
        <w:t>Direct methods such as LSD-SLAM [13] and DSO [14] dispense with features and optimise photometric error, which can be advantageous in low-texture scenes but is sensitive to illumination change and to the non-Lambertian effects common underwater. Visual-inertial systems such as VINS-Mono [15] tightly couple an IMU for strong short-horizon accuracy, and add loop detection and pose-graph optimisation for global consistency; the odometry core on its own, as with any odometry, has error bounded in rate and not in magnitude. Graph back-ends such as iSAM2 [16] provide the incremental optimisation machinery these systems rest on.</w:t>
      </w:r>
    </w:p>
    <w:p>
      <w:pPr>
        <w:pStyle w:val="Heading2"/>
      </w:pPr>
      <w:r>
        <w:t>2.4 Visual SLAM underwater</w:t>
      </w:r>
    </w:p>
    <w:p>
      <w:pPr>
        <w:spacing w:after="160"/>
      </w:pPr>
      <w:r>
        <w:rPr>
          <w:i w:val="0"/>
        </w:rPr>
        <w:t>Transplanting these systems below the waterline is not routine, and the reasons are physical rather than algorithmic. Wavelength-dependent attenuation removes the red channel within metres and compresses contrast; suspended particulate backscatters artificial illumination into a veiling glow; and the scene itself — a painted steel member, a sandy seabed, a uniform field of marine growth — frequently lacks the corner structure that ORB and similar detectors require. Köser and Frese [17] give a thorough account of these challenges, and Heshmat et al. [18] survey deep-learning-enhanced underwater SLAM. Image enhancement is commonly applied as a pre-processing stage, with colour-balance-and-fusion methods [19] and learned enhancement trained on benchmark datasets [20] both in use; in our reading, enhancement can improve the features available but cannot create structure where the scene has none; this is an inference, not a claim of [19] or [20].</w:t>
      </w:r>
    </w:p>
    <w:p>
      <w:pPr>
        <w:spacing w:after="160"/>
      </w:pPr>
      <w:r>
        <w:rPr>
          <w:i w:val="0"/>
        </w:rPr>
        <w:t>Systems designed for the domain rather than adapted to it tend to add modalities. SVIn2 [21] fuses sonar, visual, inertial and depth measurements in a tightly coupled estimator and is a representative multi-sensor underwater SLAM system. Datasets such as AQUALOC [22] have made comparative evaluation on real subsea imagery possible. The present work deliberately uses an unmodified off-the-shelf stereo front end, because the claim concerns a property of the inspection target rather than of the SLAM implementation, and should transfer to any system with an appearance- or geometry-based place recogniser.</w:t>
      </w:r>
    </w:p>
    <w:p>
      <w:pPr>
        <w:pStyle w:val="Heading2"/>
      </w:pPr>
      <w:r>
        <w:t>2.5 Place recognition, perceptual aliasing and false loop closures</w:t>
      </w:r>
    </w:p>
    <w:p>
      <w:pPr>
        <w:spacing w:after="160"/>
      </w:pPr>
      <w:r>
        <w:rPr>
          <w:i w:val="0"/>
        </w:rPr>
        <w:t>Loop closure rests on place recognition, and place recognition has a known failure mode. Appearance-based methods — FAB-MAP [23], the DBoW2 vocabulary used in the ORB-SLAM family [11] — represent an image by the visual words it contains and match it against a database. Two physically distinct places that contain the same words are, to such a system, the same place. Lowry et al. [8] survey the field and treat perceptual aliasing as one of its central problems. Geometric verification is the standard defence: a candidate match must admit a consistent rigid transform, tested by RANSAC [42] or by joint-compatibility reasoning [9]. This defence fails when the two places are not merely similar in appearance but congruent in geometry, because then the consistent transform exists.</w:t>
      </w:r>
    </w:p>
    <w:p>
      <w:pPr>
        <w:spacing w:after="160"/>
      </w:pPr>
      <w:r>
        <w:rPr>
          <w:i w:val="0"/>
        </w:rPr>
        <w:t>Rejecting false closures after they are proposed is an established problem. Switchable constraints [33] let the optimiser switch off closures that disagree with the rest of the graph; max-mixtures [34] give each closure a probability of being false; pairwise consistency [35] keeps the largest set of mutually consistent closures. The closest work to a check against dead reckoning is ROVER [41], which adds each candidate closure to the pose graph in turn and rejects it if the resulting trajectory departs from the front-end odometry trajectory by more than a threshold, in repetitive environments such as buildings and forests. Its authors note that large odometry drift can mislead the check. We find the same for our plain checks (Section [N]), at a drift of metres. ROVER does not treat symmetry: a closure that rotates the estimate onto a congruent copy of the surroundings is outside what it examines.</w:t>
      </w:r>
    </w:p>
    <w:p>
      <w:pPr>
        <w:spacing w:after="160"/>
      </w:pPr>
      <w:r>
        <w:rPr>
          <w:i w:val="0"/>
        </w:rPr>
        <w:t>Symmetry itself is handled in two neighbouring fields. In object SLAM, a symmetric object has several poses that explain one view, and the methods either keep all of them as hypotheses and resolve them over time [37], [38], use the camera pose as a prior for symmetric keypoints [36], or discard the ambiguous pose parameters and associate on the unambiguous ones [39]. In localisation on symmetric maps, clustered particle filters keep every equally probable pose alive until something separates them [40]. The idea that symmetry makes a measurement ambiguous, and that the ambiguity should be carried and not collapsed, is therefore not new. What we did not find, in a web search that was not a systematic review, is either a loop-closure test that uses a known rotational symmetry group of the inspected structure to recognise a closure to the wrong face, or a measurement of how often and how badly camera loop closures fail that way on a jacket-type structure. This paper contributes the second, and an offline evaluation of the first; it does not claim the idea of using symmetry.</w:t>
      </w:r>
    </w:p>
    <w:p>
      <w:pPr>
        <w:pStyle w:val="Heading2"/>
      </w:pPr>
      <w:r>
        <w:t>2.6 Loosely coupled fusion and the frame-alignment problem</w:t>
      </w:r>
    </w:p>
    <w:p>
      <w:pPr>
        <w:spacing w:after="160"/>
      </w:pPr>
      <w:r>
        <w:rPr>
          <w:i w:val="0"/>
        </w:rPr>
        <w:t>Integrating a SLAM pose into a vehicle navigation filter is usually done loosely: the SLAM system publishes a pose and an extended Kalman filter, commonly the robot_localization implementation [24], fuses it alongside velocity, attitude and depth. This requires the SLAM pose to be expressed in the filter's world frame, which it is not. The map frame is established arbitrarily at initialisation, and under a multi-map system [7] it may be re-established mid-mission. A transform between the two frames must therefore be estimated online, and the natural way to do it is to correlate the SLAM trajectory against the filter's trajectory, solving the resulting point-set registration in closed form [25], [26].</w:t>
      </w:r>
    </w:p>
    <w:p>
      <w:pPr>
        <w:spacing w:after="160"/>
      </w:pPr>
      <w:r>
        <w:rPr>
          <w:i w:val="0"/>
        </w:rPr>
        <w:t>The difficulty is that the filter's trajectory is partly produced by the SLAM poses the transform is used to inject. The quantity being fitted against is not independent of the fit. Residuals shrink, gates stop rejecting, and the alignment becomes self-confirming without becoming correct. We are not aware of this being identified as a systematic hazard in the underwater navigation literature, although the general principle is familiar wherever an estimator is evaluated against its own output, and we treat it in Section 4 as a property of the integration pattern rather than of any particular implementation.</w:t>
      </w:r>
    </w:p>
    <w:p>
      <w:pPr>
        <w:pStyle w:val="Heading2"/>
      </w:pPr>
      <w:r>
        <w:t>2.7 Evaluation practice</w:t>
      </w:r>
    </w:p>
    <w:p>
      <w:pPr>
        <w:spacing w:after="160"/>
      </w:pPr>
      <w:r>
        <w:rPr>
          <w:i w:val="0"/>
        </w:rPr>
        <w:t>Trajectory evaluation has well-established metrics — absolute trajectory error and relative pose error as formalised with the TUM RGB-D benchmark [27], with the alignment conventions and their pitfalls set out by Zhang and Scaramuzza [28]. These assume the estimate and the ground truth are independent, which is exactly the assumption the integration pattern above violates. An evaluation can satisfy every convention in [28] and still report a number that means nothing, if the navigation solution was anchored to the reference it is being scored against.</w:t>
      </w:r>
    </w:p>
    <w:p>
      <w:pPr>
        <w:spacing w:after="160"/>
      </w:pPr>
      <w:r>
        <w:rPr>
          <w:i w:val="0"/>
        </w:rPr>
        <w:t>Reproducibility and measurable experimentation in robotics have been argued for [29]. Pre-registration — fixing the predictions and the conditions that would falsify them before the data exist — is established in parts of the experimental sciences [30] and, in the robotics literature we have read, uncommon, though simulation makes it unusually cheap. We adopt it here, and report below both the predictions that held and those that did not.</w:t>
      </w:r>
    </w:p>
    <w:p>
      <w:pPr>
        <w:pStyle w:val="Heading2"/>
      </w:pPr>
      <w:r>
        <w:t>2.8 The gap</w:t>
      </w:r>
    </w:p>
    <w:p>
      <w:pPr>
        <w:spacing w:after="160"/>
      </w:pPr>
      <w:r>
        <w:rPr>
          <w:i w:val="0"/>
        </w:rPr>
        <w:t>Taken together the literature supports the following position. Underwater autonomy needs onboard navigation; dead reckoning drifts with distance in a way that white-noise simulation hides; visual SLAM can bound that drift only through loop closure; loop closure depends on place recognition; and place recognition is defeated by geometric congruence, which engineered inspection targets exhibit by design rather than by accident. The missing step is to treat that congruence as a known, quantifiable property of the asset and to arbitrate the resulting ambiguity with a sensing modality that is indifferent to appearance. Establishing whether such a scheme works additionally requires an evaluation apparatus in which the navigation estimate is not covertly anchored to the reference, which we found is not guaranteed by following standard practice.</w:t>
      </w:r>
    </w:p>
    <w:p>
      <w:pPr>
        <w:pStyle w:val="Heading1"/>
      </w:pPr>
      <w:r>
        <w:t>References</w:t>
      </w:r>
    </w:p>
    <w:p>
      <w:pPr>
        <w:spacing w:after="160"/>
      </w:pPr>
      <w:r>
        <w:rPr>
          <w:i/>
          <w:color w:val="A03000"/>
        </w:rPr>
        <w:t>Recalled, not verified. Check every one before submission.</w:t>
      </w:r>
    </w:p>
    <w:p>
      <w:r>
        <w:t>[1] ATLANTIS, “The Atlantic Testing Platform for Maritime Robotics: New Frontiers for Inspection and Maintenance of Offshore Energy Infrastructures,” EU Horizon 2020 grant agreement 871571 (coordinator INESC TEC), Periodic Reporting for period 2, 1 July 2021 – 31 December 2023, CORDIS, Publications Office of the European Union, doi:10.3030/871571. (Project’s own results: O&amp;M up to 30 % of the cost of energy; robotic inspection can reduce O&amp;M costs by up to 50 %.)</w:t>
      </w:r>
    </w:p>
    <w:p>
      <w:r>
        <w:t>[2] C. Mai, S. Pedersen, L. Hansen, K. L. Jepsen and Z. Yang, “Subsea infrastructure inspection: a review study,” 2016 IEEE Int. Conf. Underwater System Technology: Theory and Applications (USYS), pp. 71–76, 2016, doi:10.1109/USYS.2016.7893928.</w:t>
      </w:r>
    </w:p>
    <w:p>
      <w:r>
        <w:t>[3] J. C. Kinsey, R. M. Eustice and L. L. Whitcomb, “A survey of underwater vehicle navigation: recent advances and new challenges,” IFAC Conf. Manoeuvring and Control of Marine Craft, 2006.</w:t>
      </w:r>
    </w:p>
    <w:p>
      <w:r>
        <w:t>[4] L. Paull, S. Saeedi, M. Seto and H. Li, “AUV navigation and localization: a review,” IEEE J. Oceanic Engineering, vol. 39, no. 1, pp. 131–149, 2014.</w:t>
      </w:r>
    </w:p>
    <w:p>
      <w:r>
        <w:t>[5] Water Linked AS, “The world’s smallest DVL – DVL A50,” product datasheet, 2 pp., 2026. [Online]. Available: https://waterlinked.com/datasheets/dvl-a50 (accessed 24 Oct. 2026).</w:t>
      </w:r>
    </w:p>
    <w:p>
      <w:r>
        <w:t>[6] R. Mur-Artal, J. M. M. Montiel and J. D. Tardós, “ORB-SLAM: a versatile and accurate monocular SLAM system,” IEEE Trans. Robotics, vol. 31, no. 5, pp. 1147–1163, 2015.</w:t>
      </w:r>
    </w:p>
    <w:p>
      <w:r>
        <w:t>[7] C. Campos, R. Elvira, J. J. G. Rodríguez, J. M. M. Montiel and J. D. Tardós, “ORB-SLAM3: an accurate open-source library for visual, visual–inertial and multimap SLAM,” IEEE Trans. Robotics, vol. 37, no. 6, pp. 1874–1890, 2021.</w:t>
      </w:r>
    </w:p>
    <w:p>
      <w:r>
        <w:t>[8] S. Lowry et al., “Visual place recognition: a survey,” IEEE Trans. Robotics, vol. 32, no. 1, pp. 1–19, 2016.</w:t>
      </w:r>
    </w:p>
    <w:p>
      <w:r>
        <w:t>[9] J. Neira and J. D. Tardós, “Data association in stochastic mapping using the joint compatibility test,” IEEE Trans. Robotics and Automation, vol. 17, no. 6, pp. 890–897, 2001.</w:t>
      </w:r>
    </w:p>
    <w:p>
      <w:r>
        <w:t>[10] E. Rublee, V. Rabaud, K. Konolige and G. Bradski, “ORB: an efficient alternative to SIFT or SURF,” ICCV, 2011.</w:t>
      </w:r>
    </w:p>
    <w:p>
      <w:r>
        <w:t>[11] D. Gálvez-López and J. D. Tardós, “Bags of binary words for fast place recognition in image sequences,” IEEE Trans. Robotics, vol. 28, no. 5, pp. 1188–1197, 2012.</w:t>
      </w:r>
    </w:p>
    <w:p>
      <w:r>
        <w:t>[12] R. Mur-Artal and J. D. Tardós, “ORB-SLAM2: an open-source SLAM system for monocular, stereo and RGB-D cameras,” IEEE Trans. Robotics, vol. 33, no. 5, pp. 1255–1262, 2017.</w:t>
      </w:r>
    </w:p>
    <w:p>
      <w:r>
        <w:t>[13] J. Engel, T. Schöps and D. Cremers, “LSD-SLAM: large-scale direct monocular SLAM,” ECCV, 2014.</w:t>
      </w:r>
    </w:p>
    <w:p>
      <w:r>
        <w:t>[14] J. Engel, V. Koltun and D. Cremers, “Direct sparse odometry,” IEEE Trans. PAMI, vol. 40, no. 3, pp. 611–625, 2018.</w:t>
      </w:r>
    </w:p>
    <w:p>
      <w:r>
        <w:t>[15] T. Qin, P. Li and S. Shen, “VINS-Mono: a robust and versatile monocular visual–inertial state estimator,” IEEE Trans. Robotics, vol. 34, no. 4, pp. 1004–1020, 2018.</w:t>
      </w:r>
    </w:p>
    <w:p>
      <w:r>
        <w:t>[16] M. Kaess, H. Johannsson, R. Roberts, V. Ila, J. J. Leonard and F. Dellaert, “iSAM2: incremental smoothing and mapping using the Bayes tree,” Int. J. Robotics Research, vol. 31, no. 2, pp. 216–235, 2012.</w:t>
      </w:r>
    </w:p>
    <w:p>
      <w:r>
        <w:t>[17] K. Köser and U. Frese, “Challenges in underwater visual navigation and SLAM,” in AI Technology for Underwater Robots, Springer, 2020, pp. 125–135.</w:t>
      </w:r>
    </w:p>
    <w:p>
      <w:r>
        <w:t>[18] M. Heshmat, L. Saad Saoud, M. Abujabal, A. Sultan, M. Elmezain, L. Seneviratne and I. Hussain, “Underwater SLAM meets deep learning: challenges, multi-sensor integration, and future directions,” Sensors, vol. 25, no. 11, art. 3258, 2025.</w:t>
      </w:r>
    </w:p>
    <w:p>
      <w:r>
        <w:t>[19] C. O. Ancuti, C. Ancuti, C. De Vleeschouwer and P. Bekaert, “Color balance and fusion for underwater image enhancement,” IEEE Trans. Image Processing, vol. 27, no. 1, pp. 379–393, 2018.</w:t>
      </w:r>
    </w:p>
    <w:p>
      <w:r>
        <w:t>[20] C. Li et al., “An underwater image enhancement benchmark dataset and beyond,” IEEE Trans. Image Processing, vol. 29, pp. 4376–4389, 2020.</w:t>
      </w:r>
    </w:p>
    <w:p>
      <w:r>
        <w:t>[21] S. Rahman, A. Quattrini Li and I. Rekleitis, “SVIn2: a multi-sensor fusion-based underwater SLAM system,” Int. J. Robotics Research, vol. 41, no. 11–12, pp. 1022–1042, 2022.</w:t>
      </w:r>
    </w:p>
    <w:p>
      <w:r>
        <w:t>[22] M. Ferrera, V. Creuze, J. Moras and P. Trouvé-Peloux, “AQUALOC: an underwater dataset for visual–inertial–pressure localization,” Int. J. Robotics Research, vol. 38, no. 14, pp. 1549–1559, 2019.</w:t>
      </w:r>
    </w:p>
    <w:p>
      <w:r>
        <w:t>[23] M. Cummins and P. Newman, “FAB-MAP: probabilistic localization and mapping in the space of appearance,” Int. J. Robotics Research, vol. 27, no. 6, pp. 647–665, 2008.</w:t>
      </w:r>
    </w:p>
    <w:p>
      <w:r>
        <w:t>[24] T. Moore and D. Stouch, “A generalized extended Kalman filter implementation for the Robot Operating System,” Intelligent Autonomous Systems 13, 2014.</w:t>
      </w:r>
    </w:p>
    <w:p>
      <w:r>
        <w:t>[25] B. K. P. Horn, “Closed-form solution of absolute orientation using unit quaternions,” J. Optical Society of America A, vol. 4, no. 4, pp. 629–642, 1987.</w:t>
      </w:r>
    </w:p>
    <w:p>
      <w:r>
        <w:t>[26] S. Umeyama, “Least-squares estimation of transformation parameters between two point patterns,” IEEE Trans. PAMI, vol. 13, no. 4, pp. 376–380, 1991.</w:t>
      </w:r>
    </w:p>
    <w:p>
      <w:r>
        <w:t>[27] J. Sturm, N. Engelhard, F. Endres, W. Burgard and D. Cremers, “A benchmark for the evaluation of RGB-D SLAM systems,” IROS, 2012.</w:t>
      </w:r>
    </w:p>
    <w:p>
      <w:r>
        <w:t>[28] Z. Zhang and D. Scaramuzza, “A tutorial on quantitative trajectory evaluation for visual(-inertial) odometry,” IROS, 2018.</w:t>
      </w:r>
    </w:p>
    <w:p>
      <w:r>
        <w:t>[29] F. Bonsignorio and A. P. del Pobil, “Toward replicable and measurable robotics research,” IEEE Robotics and Automation Magazine, vol. 22, no. 3, pp. 32–35, 2015.</w:t>
      </w:r>
    </w:p>
    <w:p>
      <w:r>
        <w:t>[30] B. A. Nosek, C. R. Ebersole, A. C. DeHaven and D. T. Mellor, “The preregistration revolution,” PNAS, vol. 115, no. 11, pp. 2600–2606, 2018.</w:t>
      </w:r>
    </w:p>
    <w:p>
      <w:r>
        <w:t>[31] M. M. M. Manhães, S. A. Scherer, M. Voss, L. R. Douat and T. Rauschenbach, “UUV Simulator: a Gazebo-based package for underwater intervention and multi-robot simulation,” OCEANS, 2016.</w:t>
      </w:r>
    </w:p>
    <w:p>
      <w:r>
        <w:t>[32] P. Cieślak, “Stonefish: an advanced open-source simulation tool designed for marine robotics, with a ROS interface,” OCEANS Marseille, 2019.</w:t>
      </w:r>
    </w:p>
    <w:p>
      <w:r>
        <w:t>[33] N. Sünderhauf and P. Protzel, “Switchable constraints for robust pose graph SLAM,” IROS, pp. 1879–1884, 2012.</w:t>
      </w:r>
    </w:p>
    <w:p>
      <w:r>
        <w:t>[34] E. Olson and P. Agarwal, “Inference on networks of mixtures for robust robot mapping,” Int. J. Robotics Research, vol. 32, no. 7, 2013 (first presented at RSS 2012).</w:t>
      </w:r>
    </w:p>
    <w:p>
      <w:r>
        <w:t>[35] J. G. Mangelson, D. Dominic, R. M. Eustice and R. Vasudevan, “Pairwise consistent measurement set maximization for robust multi-robot map merging,” ICRA, pp. 2916–2923, 2018.</w:t>
      </w:r>
    </w:p>
    <w:p>
      <w:r>
        <w:t>[36] N. Merrill, Y. Guo, X. Zuo, X. Huang, S. Leutenegger, X. Peng, L. Ren and G. Huang, “Symmetry and uncertainty-aware object SLAM for 6DoF object pose estimation,” CVPR, 2022 (arXiv 2205.01823).</w:t>
      </w:r>
    </w:p>
    <w:p>
      <w:r>
        <w:t>[37] J. Fu, Q. Huang, K. Doherty, Y. Wang and J. J. Leonard, “A multi-hypothesis approach to pose ambiguity in object-based SLAM,” IROS, 2021 (arXiv 2108.01225).</w:t>
      </w:r>
    </w:p>
    <w:p>
      <w:r>
        <w:t>[38] Z. Lu, Q. Huang, K. Doherty and J. Leonard, “Consensus-informed optimization over mixtures for ambiguity-aware object SLAM,” arXiv 2107.09265, 2021.</w:t>
      </w:r>
    </w:p>
    <w:p>
      <w:r>
        <w:t>[39] T. Lee, Y. Jang and H. J. Kim, “Object-based SLAM utilizing unambiguous pose parameters considering general symmetry types,” ICRA, 2023 (arXiv 2303.07872).</w:t>
      </w:r>
    </w:p>
    <w:p>
      <w:r>
        <w:t>[40] J. N. Sanchez, A. Milstein and E. Williamson, “Robust global localization using clustered particle filtering,” AAAI, 2002 (arXiv cs/0204044).</w:t>
      </w:r>
    </w:p>
    <w:p>
      <w:r>
        <w:t>[41] J. Yu, J. Yang, J. Jiao, A. Hu, Z. Liu, J. Wang, P. Tan and H. Zhang, “ROVER: robust loop closure verification with trajectory prior in repetitive environments,” arXiv 2508.13488, 2025; accepted to IEEE Trans. Automation Science and Engineering, 2026.</w:t>
      </w:r>
    </w:p>
    <w:p>
      <w:r>
        <w:t>[42] M. A. Fischler and R. C. Bolles, “Random sample consensus: a paradigm for model fitting with applications to image analysis and automated cartography,” Commun. ACM, vol. 24, no. 6, pp. 381–395, 1981.</w:t>
      </w:r>
    </w:p>
    <w:p>
      <w:r>
        <w:t>[43] X. Wang, X. Fan, P. Shi, J. Ni and Z. Zhou, “An overview of key SLAM technologies for underwater scenes,” Remote Sensing, vol. 15, no. 10, art. 2496, 2023, doi:10.3390/rs15102496.</w:t>
      </w:r>
    </w:p>
    <w:p>
      <w:r>
        <w:t>[44] E. Olivastri, D. Fusaro, W. Li, S. Mosco and A. Pretto, “A sonar-based AUV positioning system for underwater environments with low infrastructure density,” arXiv:2405.01971, 2024.</w:t>
      </w:r>
    </w:p>
    <w:p>
      <w:r>
        <w:t>[45] F. Vorpahl, W. Popko and D. Kaufer, “Description of a basic model of the ‘UpWind reference jacket’ for code comparison in the OC4 project under IEA Wind Annex 30,” Fraunhofer IWES technical report, 19 July 2013.</w:t>
      </w:r>
    </w:p>
    <w:p>
      <w:r>
        <w:t>[46] K. Tang, J. Wang, W. Li and W. Wu, “A novel INS and Doppler sensors calibration method for long range underwater vehicle navigation,” Sensors, vol. 13, no. 11, pp. 14583–14600, 2013, doi:10.3390/s131114583.</w:t>
      </w:r>
    </w:p>
    <w:p>
      <w:r>
        <w:t>[47] G. Troni and L. L. Whitcomb, “Advances in in situ alignment calibration of Doppler and high/low-end attitude sensors for underwater vehicle navigation: theory and experimental evaluation,” J. Field Robotics, vol. 32, no. 5, pp. 655–674, 2015, doi:10.1002/rob.21551.</w:t>
      </w:r>
    </w:p>
    <w:p>
      <w:r>
        <w:br w:type="page"/>
      </w:r>
    </w:p>
    <w:p>
      <w:pPr>
        <w:pStyle w:val="Heading1"/>
      </w:pPr>
      <w:r>
        <w:t>Status note for the reviewer of this draft</w:t>
      </w:r>
    </w:p>
    <w:p>
      <w:pPr>
        <w:spacing w:after="160"/>
      </w:pPr>
      <w:r>
        <w:rPr>
          <w:i/>
          <w:color w:val="A03000"/>
        </w:rPr>
        <w:t>Not part of the manuscript. This records what the prose above is entitled to assume as of 2026-10-17 (rewritten; the 2026-10-14 versionis in the v1 file), so that nothing unsupported is carried forward silently.</w:t>
      </w:r>
    </w:p>
    <w:p>
      <w:pPr>
        <w:spacing w:after="160"/>
      </w:pPr>
      <w:r>
        <w:rPr>
          <w:i/>
        </w:rPr>
        <w:t>Settled, and safe to cite in later sections:</w:t>
      </w:r>
    </w:p>
    <w:p>
      <w:pPr>
        <w:pStyle w:val="ListBullet"/>
      </w:pPr>
      <w:r>
        <w:t>R1: jacket faces are geometrically interchangeable. Measured independently from sonar and from CAD (ICP fitness 1.000, RMSE ~0.11 m). Algorithm-free and calibration-independent.</w:t>
      </w:r>
    </w:p>
    <w:p>
      <w:pPr>
        <w:pStyle w:val="ListBullet"/>
      </w:pPr>
      <w:r>
        <w:t>The closure events: twelve classified in eleven recorded missions, five wrong-face, each confirmed against the ground-truth trajectory (nearest earlier visit to the true position 18.7 to 20.5 m; estimate lands within 0.3 m of an earlier true visit). Classifier fixed and hashed in docs/experiments/PREREG_closure_events.md. At least 5 of 28 missions affected.</w:t>
      </w:r>
    </w:p>
    <w:p>
      <w:pPr>
        <w:pStyle w:val="ListBullet"/>
      </w:pPr>
      <w:r>
        <w:t>The frame defect: the SLAM pose arrives in ENU and the stack is NED. Converted on ingest from 2026-10-16; with it corrected the SLAM track fits truth to 0.08-0.56 m in the 150 s before the first closure of each mission.</w:t>
      </w:r>
    </w:p>
    <w:p>
      <w:pPr>
        <w:pStyle w:val="ListBullet"/>
      </w:pPr>
      <w:r>
        <w:t>The DVL error model is verified per run: the realised 3x3 operator is recovered from the recorded velocities and matched against the seed, to better than 0.0005.</w:t>
      </w:r>
    </w:p>
    <w:p>
      <w:pPr>
        <w:pStyle w:val="ListBullet"/>
      </w:pPr>
      <w:r>
        <w:t>Dead reckoning on the 2026-10-16 heading-drift mission: 0.20 m RMS over 131 m with a 3 deg/hr gyro drift confirmed reaching the filter at 3.00 deg/hr.</w:t>
      </w:r>
    </w:p>
    <w:p>
      <w:pPr>
        <w:spacing w:after="160"/>
      </w:pPr>
      <w:r>
        <w:rPr>
          <w:i/>
        </w:rPr>
        <w:t>Checked on 2026-10-17 by web search (details: docs/paper/CITATION_CHECK.md):</w:t>
      </w:r>
    </w:p>
    <w:p>
      <w:pPr>
        <w:pStyle w:val="ListBullet"/>
      </w:pPr>
      <w:r>
        <w:t>Of the 29 real references, 25 were confirmed on authors, venue, year and pages; three exist but a detail is unconfirmed or differs between sources ([15] volume and pages, [16] page range, [29] confirmed by one source); one, [18], could not be found and has been replaced by a verified survey. Three references ([1], [2], [5]) remain placeholders. Only the titles and abstracts were checked: whether each paper supports the sentence it is cited for was checked for [8], [9] and [23] only. [9] is about data association and is used correctly for joint-compatibility checking, but it is not a source for perceptual aliasing, so the aliasing sentence now cites [8] and [23].</w:t>
      </w:r>
    </w:p>
    <w:p>
      <w:pPr>
        <w:pStyle w:val="ListBullet"/>
      </w:pPr>
      <w:r>
        <w:t>Second pass, 2026-10-19: the symmetry-handling papers [36]-[40] and ROVER [41] were looked up (authors, venue, what each does); ROVER's method section was read, not the whole paper. Six sentences were corrected or softened (see CITATION_CHECK.md, pass 2). The sentence citing [1], [2] (inspection economics) still has no verified source and must not be submitted as it stands.</w:t>
      </w:r>
    </w:p>
    <w:p>
      <w:pPr>
        <w:pStyle w:val="ListBullet"/>
      </w:pPr>
      <w:r>
        <w:t>The premise that jackets are four-fold symmetric by engineering design is NOT supported. Sources found describe jackets with three, four or more legs and with boat landings and cable tubes that break symmetry; none says symmetry is a design aim. The Introduction was rewritten to say 'close to four-fold symmetric in the primary steel, symmetry broken by appurtenances, effect not resolved here'. The jacket description still needs an academic source; only project pages and patents were found.</w:t>
      </w:r>
    </w:p>
    <w:p>
      <w:pPr>
        <w:pStyle w:val="ListBullet"/>
      </w:pPr>
      <w:r>
        <w:t>Prior art on rejecting false loop closures is substantial and is now acknowledged: switchable constraints [33], max-mixtures [34], pairwise consistency [35], and others listed in CITATION_CHECK.md. The novelty claim is narrowed accordingly.</w:t>
      </w:r>
    </w:p>
    <w:p>
      <w:pPr>
        <w:spacing w:after="160"/>
      </w:pPr>
      <w:r>
        <w:rPr>
          <w:i/>
        </w:rPr>
        <w:t>Open, and NOT safe to assume in the prose:</w:t>
      </w:r>
    </w:p>
    <w:p>
      <w:pPr>
        <w:pStyle w:val="ListBullet"/>
      </w:pPr>
      <w:r>
        <w:t>R3, dose-response. The earlier p = 0.0087 was computed from bridge re-lock angles, which measured the frame defect, and is void. The rebuilt test (L0 against L4, one-sided Fisher on the first closure per mission) is pre-registered and not run; at the historical rate it needs 30 to 40 missions per arm for 65 to 87 per cent power.</w:t>
      </w:r>
    </w:p>
    <w:p>
      <w:pPr>
        <w:pStyle w:val="ListBullet"/>
      </w:pPr>
      <w:r>
        <w:t>R4, the symmetry-aware gate. Designed, not built. Must not appear as a contribution unless built and measured.</w:t>
      </w:r>
    </w:p>
    <w:p>
      <w:pPr>
        <w:pStyle w:val="ListBullet"/>
      </w:pPr>
      <w:r>
        <w:t>The '41 m against 1.7 m' figure for the circular alignment. Measured before the frame correction. The direction is not in doubt, since the circularity is structural, but the magnitude must be re-measured on the corrected pipeline before it is quoted in the results.</w:t>
      </w:r>
    </w:p>
    <w:p>
      <w:pPr>
        <w:pStyle w:val="ListBullet"/>
      </w:pPr>
      <w:r>
        <w:t>The earlier '8 to 10 times worse' figure for the fused filter. Measured through the frame defect and superseded. The corrected measurement, on the heading-drift mission, is 2.6 times worse over the inspection (0.17 m against 0.45 m), but that run is void for its stated purpose because dead reckoning stayed below the 0.5 m criterion, and it used the old constant covariance.</w:t>
      </w:r>
    </w:p>
    <w:p>
      <w:pPr>
        <w:pStyle w:val="ListBullet"/>
      </w:pPr>
      <w:r>
        <w:t>The bridge changes of 2026-10-16 (similarity fit with scale, published covariance derived from the fit residual). Verified offline against a synthesised transform; never flown. A live mission is needed before anything is claimed about them.</w:t>
      </w:r>
    </w:p>
    <w:p>
      <w:pPr>
        <w:pStyle w:val="ListBullet"/>
      </w:pPr>
      <w:r>
        <w:t>The shared landing bearing of the five wrong-face closures (+85 to +89 degrees). Two independent starting faces, not five, so weak evidence; not tested prospectively.</w:t>
      </w:r>
    </w:p>
    <w:p>
      <w:pPr>
        <w:pStyle w:val="ListBullet"/>
      </w:pPr>
      <w:r>
        <w:t>Whether a wrong-face closure causes the map re-initialisations that follow it. They follow it in all five missions but also occur in missions whose only closure was benign.</w:t>
      </w:r>
    </w:p>
    <w:p>
      <w:pPr>
        <w:pStyle w:val="ListBullet"/>
      </w:pPr>
      <w:r>
        <w:t>Whether SLAM helps on any mission here. Not shown. The heading-drift experiment that would show it was void, and a single circuit suppresses heading drift by about 3.5 times in position error, so longer missions are where the question lives.</w:t>
      </w:r>
    </w:p>
    <w:p>
      <w:pPr>
        <w:pStyle w:val="ListBullet"/>
      </w:pPr>
      <w:r>
        <w:t>Every citation. From recall, none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