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DEDF59" w14:textId="77777777" w:rsidR="00452314" w:rsidRDefault="00452314" w:rsidP="00452314">
      <w:pPr>
        <w:pStyle w:val="Kop1"/>
      </w:pPr>
      <w:r>
        <w:t>1. Inleiding</w:t>
      </w:r>
    </w:p>
    <w:p w14:paraId="39EE2954" w14:textId="618FB9FC" w:rsidR="00007181" w:rsidRDefault="005C20DF">
      <w:r w:rsidRPr="005C20DF">
        <w:t>- Inleiding: +- 200 woorden met aanleiding, achtergrondinformatie en doelstel-</w:t>
      </w:r>
      <w:r w:rsidRPr="005C20DF">
        <w:br/>
      </w:r>
      <w:proofErr w:type="spellStart"/>
      <w:r w:rsidRPr="005C20DF">
        <w:t>ling</w:t>
      </w:r>
      <w:proofErr w:type="spellEnd"/>
      <w:r w:rsidRPr="005C20DF">
        <w:t>. Bronnen (PDF) kunnen in een aparte folder met verwijzing</w:t>
      </w:r>
    </w:p>
    <w:p w14:paraId="19A03A68" w14:textId="1303B253" w:rsidR="008B0A28" w:rsidRDefault="008B0A28"/>
    <w:p w14:paraId="0470BA3E" w14:textId="3ED2C6FD" w:rsidR="008B0A28" w:rsidRDefault="008B0A28">
      <w:r>
        <w:t>Achtergrondinformatie</w:t>
      </w:r>
    </w:p>
    <w:p w14:paraId="191FF344" w14:textId="2BF4650E" w:rsidR="006C04AF" w:rsidRDefault="00A6236C" w:rsidP="00A6236C">
      <w:pPr>
        <w:pStyle w:val="Lijstalinea"/>
        <w:numPr>
          <w:ilvl w:val="0"/>
          <w:numId w:val="3"/>
        </w:numPr>
      </w:pPr>
      <w:r>
        <w:t>Genexpressie</w:t>
      </w:r>
    </w:p>
    <w:p w14:paraId="301F7893" w14:textId="03286383" w:rsidR="00A6236C" w:rsidRDefault="00A6236C" w:rsidP="00A6236C">
      <w:pPr>
        <w:pStyle w:val="Lijstalinea"/>
        <w:numPr>
          <w:ilvl w:val="0"/>
          <w:numId w:val="3"/>
        </w:numPr>
      </w:pPr>
      <w:r>
        <w:t>Reuma</w:t>
      </w:r>
    </w:p>
    <w:p w14:paraId="491D3E05" w14:textId="62BC825A" w:rsidR="00BB49CD" w:rsidRPr="00DE16F5" w:rsidRDefault="00BB49CD" w:rsidP="00BB49CD">
      <w:proofErr w:type="spellStart"/>
      <w:r w:rsidRPr="00BB49CD">
        <w:rPr>
          <w:lang w:val="en-GB"/>
        </w:rPr>
        <w:t>heumatoidarthritis</w:t>
      </w:r>
      <w:proofErr w:type="spellEnd"/>
      <w:r w:rsidRPr="00BB49CD">
        <w:rPr>
          <w:lang w:val="en-GB"/>
        </w:rPr>
        <w:t xml:space="preserve"> (RA) isa chronic, inflammatory joint disease with a worldwide prevalence of about 5 per 1000 adults. The disease affects women 2 to 3 times more often </w:t>
      </w:r>
      <w:proofErr w:type="spellStart"/>
      <w:r w:rsidRPr="00BB49CD">
        <w:rPr>
          <w:lang w:val="en-GB"/>
        </w:rPr>
        <w:t>thanmen</w:t>
      </w:r>
      <w:proofErr w:type="spellEnd"/>
      <w:r w:rsidRPr="00BB49CD">
        <w:rPr>
          <w:lang w:val="en-GB"/>
        </w:rPr>
        <w:t xml:space="preserve"> and occurs at any age. The peak incidence is in the sixth decade.1 Previously, RA led to disability, inability to work, and increased mortality. Recent improvement in outcomes has been achieved through a better understanding of RA pathophysiology and development of better outcome measures and therapies. The pathophysiology of RA involves chronic inflammation of the synovial membrane, which can destroy articular cartilage and </w:t>
      </w:r>
      <w:proofErr w:type="spellStart"/>
      <w:r w:rsidRPr="00BB49CD">
        <w:rPr>
          <w:lang w:val="en-GB"/>
        </w:rPr>
        <w:t>juxtaarticular</w:t>
      </w:r>
      <w:proofErr w:type="spellEnd"/>
      <w:r w:rsidRPr="00BB49CD">
        <w:rPr>
          <w:lang w:val="en-GB"/>
        </w:rPr>
        <w:t xml:space="preserve"> bone.2Recent discoveries regarding biologic pathways have improved understanding of the phenomena associated with rheumatoid inflammation and their consequences. New molecules and cells in the biologic pathway have been identified and are targets for therapeutic intervention. This review summarizes current evidence regarding the pathophysiology, diagnosis, and treatment of RA.</w:t>
      </w:r>
      <w:r w:rsidR="00E858D1">
        <w:rPr>
          <w:lang w:val="en-GB"/>
        </w:rPr>
        <w:t xml:space="preserve"> </w:t>
      </w:r>
      <w:hyperlink r:id="rId5" w:history="1">
        <w:r w:rsidR="00E858D1" w:rsidRPr="00DE16F5">
          <w:rPr>
            <w:rStyle w:val="Hyperlink"/>
          </w:rPr>
          <w:t>https://magistralbr.caldic.com/storage/product-files/762860314.pdf</w:t>
        </w:r>
      </w:hyperlink>
    </w:p>
    <w:p w14:paraId="6D4D70A1" w14:textId="70C30185" w:rsidR="00E858D1" w:rsidRPr="00751DDC" w:rsidRDefault="003A6944" w:rsidP="00BB49CD">
      <w:pPr>
        <w:rPr>
          <w:lang w:val="en-GB"/>
        </w:rPr>
      </w:pPr>
      <w:hyperlink r:id="rId6" w:history="1">
        <w:r w:rsidRPr="00751DDC">
          <w:rPr>
            <w:rStyle w:val="Hyperlink"/>
            <w:lang w:val="en-GB"/>
          </w:rPr>
          <w:t>file:///C:/Users/Yaelf/Downloads/cells-10-02857-v2.pdf</w:t>
        </w:r>
      </w:hyperlink>
    </w:p>
    <w:p w14:paraId="27DC0A8B" w14:textId="77777777" w:rsidR="003A6944" w:rsidRPr="00751DDC" w:rsidRDefault="003A6944" w:rsidP="003A6944">
      <w:pPr>
        <w:rPr>
          <w:lang w:val="en-GB"/>
        </w:rPr>
      </w:pPr>
      <w:hyperlink r:id="rId7" w:history="1">
        <w:r w:rsidRPr="00751DDC">
          <w:rPr>
            <w:rStyle w:val="Hyperlink"/>
            <w:lang w:val="en-GB"/>
          </w:rPr>
          <w:t>https://www.cell.com/immunity/pdf/S1074-7613(22)00599-4.pdf</w:t>
        </w:r>
      </w:hyperlink>
    </w:p>
    <w:p w14:paraId="6F1B0D20" w14:textId="7B6DB86A" w:rsidR="001870DD" w:rsidRDefault="001870DD" w:rsidP="001870DD">
      <w:pPr>
        <w:rPr>
          <w:lang w:val="en-GB"/>
        </w:rPr>
      </w:pPr>
      <w:r w:rsidRPr="002F1A5B">
        <w:rPr>
          <w:lang w:val="en-GB"/>
        </w:rPr>
        <w:t xml:space="preserve">Rheumatoid arthritis (RA) is a chronic autoimmune disease characterized by systemic synovitis and sometimes accompanied by progressive bone destruction (1). Joint deformities lead to a loss of mobility in RA patients, and treatment-related adverse events including cardiovascular events and infections can be fatal (2–5). While various anti-rheumatic drugs have been established in recent years, 5 - 20% of RA patients have poor responses to those medications (6). The pathogenesis of RA is thought to involve a reduced tolerance of the autoimmune system resulting from genetic and environmental Frontiers in Immunology 01 frontiersin.org OPEN ACCESS EDITED BY </w:t>
      </w:r>
      <w:proofErr w:type="spellStart"/>
      <w:r w:rsidRPr="002F1A5B">
        <w:rPr>
          <w:lang w:val="en-GB"/>
        </w:rPr>
        <w:t>Zhiguo</w:t>
      </w:r>
      <w:proofErr w:type="spellEnd"/>
      <w:r w:rsidRPr="002F1A5B">
        <w:rPr>
          <w:lang w:val="en-GB"/>
        </w:rPr>
        <w:t xml:space="preserve"> Xie, Central South University, China REVIEWED BY </w:t>
      </w:r>
      <w:proofErr w:type="spellStart"/>
      <w:r w:rsidRPr="002F1A5B">
        <w:rPr>
          <w:lang w:val="en-GB"/>
        </w:rPr>
        <w:t>Weiqian</w:t>
      </w:r>
      <w:proofErr w:type="spellEnd"/>
      <w:r w:rsidRPr="002F1A5B">
        <w:rPr>
          <w:lang w:val="en-GB"/>
        </w:rPr>
        <w:t xml:space="preserve"> Chen, Zhejiang University, China </w:t>
      </w:r>
      <w:proofErr w:type="spellStart"/>
      <w:r w:rsidRPr="002F1A5B">
        <w:rPr>
          <w:lang w:val="en-GB"/>
        </w:rPr>
        <w:t>Myoungsun</w:t>
      </w:r>
      <w:proofErr w:type="spellEnd"/>
      <w:r w:rsidRPr="002F1A5B">
        <w:rPr>
          <w:lang w:val="en-GB"/>
        </w:rPr>
        <w:t xml:space="preserve"> Son, Feinstein Institute for Medical Research, United States *CORRESPONDENCE Yasuo </w:t>
      </w:r>
      <w:proofErr w:type="spellStart"/>
      <w:r w:rsidRPr="002F1A5B">
        <w:rPr>
          <w:lang w:val="en-GB"/>
        </w:rPr>
        <w:t>Nagafuchi</w:t>
      </w:r>
      <w:proofErr w:type="spellEnd"/>
      <w:r w:rsidRPr="002F1A5B">
        <w:rPr>
          <w:lang w:val="en-GB"/>
        </w:rPr>
        <w:t xml:space="preserve"> nagafuchi@g.ecc.u-tokyo.ac.jp RECEIVED 07 February 2023 ACCEPTED 28 April 2023 PUBLISHED 12 May 2023 CITATION </w:t>
      </w:r>
      <w:proofErr w:type="spellStart"/>
      <w:r w:rsidRPr="002F1A5B">
        <w:rPr>
          <w:lang w:val="en-GB"/>
        </w:rPr>
        <w:t>Suwa</w:t>
      </w:r>
      <w:proofErr w:type="spellEnd"/>
      <w:r w:rsidRPr="002F1A5B">
        <w:rPr>
          <w:lang w:val="en-GB"/>
        </w:rPr>
        <w:t xml:space="preserve"> Y, </w:t>
      </w:r>
      <w:proofErr w:type="spellStart"/>
      <w:r w:rsidRPr="002F1A5B">
        <w:rPr>
          <w:lang w:val="en-GB"/>
        </w:rPr>
        <w:t>Nagafuchi</w:t>
      </w:r>
      <w:proofErr w:type="spellEnd"/>
      <w:r w:rsidRPr="002F1A5B">
        <w:rPr>
          <w:lang w:val="en-GB"/>
        </w:rPr>
        <w:t xml:space="preserve"> Y, Yamada S and Fujio K (2023) The role of dendritic cells and their immunometabolism in rheumatoid arthritis. Front. Immunol. 14:1161148. </w:t>
      </w:r>
      <w:proofErr w:type="spellStart"/>
      <w:r w:rsidRPr="002F1A5B">
        <w:rPr>
          <w:lang w:val="en-GB"/>
        </w:rPr>
        <w:t>doi</w:t>
      </w:r>
      <w:proofErr w:type="spellEnd"/>
      <w:r w:rsidRPr="002F1A5B">
        <w:rPr>
          <w:lang w:val="en-GB"/>
        </w:rPr>
        <w:t xml:space="preserve">: 10.3389/fimmu.2023.1161148 COPYRIGHT © 2023 </w:t>
      </w:r>
      <w:proofErr w:type="spellStart"/>
      <w:r w:rsidRPr="002F1A5B">
        <w:rPr>
          <w:lang w:val="en-GB"/>
        </w:rPr>
        <w:t>Suwa</w:t>
      </w:r>
      <w:proofErr w:type="spellEnd"/>
      <w:r w:rsidRPr="002F1A5B">
        <w:rPr>
          <w:lang w:val="en-GB"/>
        </w:rPr>
        <w:t xml:space="preserve">, </w:t>
      </w:r>
      <w:proofErr w:type="spellStart"/>
      <w:r w:rsidRPr="002F1A5B">
        <w:rPr>
          <w:lang w:val="en-GB"/>
        </w:rPr>
        <w:t>Nagafuchi</w:t>
      </w:r>
      <w:proofErr w:type="spellEnd"/>
      <w:r w:rsidRPr="002F1A5B">
        <w:rPr>
          <w:lang w:val="en-GB"/>
        </w:rPr>
        <w:t xml:space="preserve">, Yamada and Fujio. This is an open-access article distributed under the terms of the Creative Commons Attribution License (CC BY). The use, distribution or reproduction in other forums is permitted, provided the original author(s) and the copyright owner(s) are credited and that the original publication in this journal is cited, in accordance with accepted academic practice. No use, distribution or reproduction is permitted which does not comply with these terms. TYPE Mini Review PUBLISHED 12 May 2023 DOI 10.3389/fimmu.2023.1161148 backgrounds (7, 8). Synovitis in RA is induced by complex interaction of various cell types, including T and B lymphocytes involved in adaptive immunity, </w:t>
      </w:r>
      <w:r w:rsidRPr="002F1A5B">
        <w:rPr>
          <w:lang w:val="en-GB"/>
        </w:rPr>
        <w:lastRenderedPageBreak/>
        <w:t>myeloid cells involved mainly in innate immunity, osteoclasts and synovial fibroblasts directly responsible for joint destruction. The complexity of disease pathogenesis is a primary cause of the difficulties in treatment (9– 11). Dendritic cells (DCs), a subtype of the myeloid lineage, could be related to the clinical treatment response in RA. Recently, we have reported that the proportion of precursor DCs (pre-DCs) in innate immunity, osteoclasts and synovial fibroblasts directly responsible for joint destruction.</w:t>
      </w:r>
      <w:r w:rsidRPr="001870DD">
        <w:rPr>
          <w:lang w:val="en-GB"/>
        </w:rPr>
        <w:t xml:space="preserve"> </w:t>
      </w:r>
      <w:hyperlink r:id="rId8" w:history="1">
        <w:r w:rsidRPr="00F60259">
          <w:rPr>
            <w:rStyle w:val="Hyperlink"/>
            <w:lang w:val="en-GB"/>
          </w:rPr>
          <w:t>file:///C:/Users/Yaelf/Downloads/fimmu-14-1161148.pdf</w:t>
        </w:r>
      </w:hyperlink>
    </w:p>
    <w:p w14:paraId="503D8C14" w14:textId="7BD37CF5" w:rsidR="003A6944" w:rsidRPr="00751DDC" w:rsidRDefault="003A6944" w:rsidP="00BB49CD">
      <w:pPr>
        <w:rPr>
          <w:lang w:val="en-GB"/>
        </w:rPr>
      </w:pPr>
    </w:p>
    <w:p w14:paraId="26F47718" w14:textId="49737C67" w:rsidR="003A6944" w:rsidRDefault="00A6236C" w:rsidP="003A6944">
      <w:pPr>
        <w:pStyle w:val="Lijstalinea"/>
        <w:numPr>
          <w:ilvl w:val="0"/>
          <w:numId w:val="3"/>
        </w:numPr>
      </w:pPr>
      <w:proofErr w:type="spellStart"/>
      <w:r>
        <w:t>Transcriptomics</w:t>
      </w:r>
      <w:proofErr w:type="spellEnd"/>
    </w:p>
    <w:p w14:paraId="32BD181A" w14:textId="77777777" w:rsidR="00924E7B" w:rsidRDefault="008B0A28">
      <w:r>
        <w:t>Aanleiding</w:t>
      </w:r>
    </w:p>
    <w:p w14:paraId="432D5A6B" w14:textId="52A256B5" w:rsidR="00924E7B" w:rsidRDefault="0050782F" w:rsidP="00A10B89">
      <w:pPr>
        <w:pStyle w:val="Lijstalinea"/>
        <w:numPr>
          <w:ilvl w:val="0"/>
          <w:numId w:val="4"/>
        </w:numPr>
      </w:pPr>
      <w:r>
        <w:t xml:space="preserve">De oorzaak van </w:t>
      </w:r>
      <w:proofErr w:type="spellStart"/>
      <w:r>
        <w:t>reumathoide</w:t>
      </w:r>
      <w:proofErr w:type="spellEnd"/>
      <w:r>
        <w:t xml:space="preserve"> </w:t>
      </w:r>
      <w:proofErr w:type="spellStart"/>
      <w:r>
        <w:t>artrithis</w:t>
      </w:r>
      <w:proofErr w:type="spellEnd"/>
      <w:r>
        <w:t xml:space="preserve"> is niet bekend</w:t>
      </w:r>
    </w:p>
    <w:p w14:paraId="49EA0681" w14:textId="433D42B8" w:rsidR="00DE16F5" w:rsidRDefault="008B0A28">
      <w:r>
        <w:t xml:space="preserve">Doelstelling </w:t>
      </w:r>
    </w:p>
    <w:p w14:paraId="049465AE" w14:textId="0E28F93D" w:rsidR="00DE16F5" w:rsidRDefault="00182E49">
      <w:r w:rsidRPr="005C20DF">
        <w:t>- Methode: +- 200 woorden met methode, flowschema. Zie leerdoelen voor mi-</w:t>
      </w:r>
      <w:r w:rsidRPr="005C20DF">
        <w:br/>
      </w:r>
      <w:proofErr w:type="spellStart"/>
      <w:r w:rsidRPr="005C20DF">
        <w:t>nimale</w:t>
      </w:r>
      <w:proofErr w:type="spellEnd"/>
      <w:r w:rsidRPr="005C20DF">
        <w:t xml:space="preserve"> inhoud. Scripts, data etc. kunnen in een aparte folder met verwijzing</w:t>
      </w:r>
    </w:p>
    <w:p w14:paraId="7F771661" w14:textId="77777777" w:rsidR="00076574" w:rsidRDefault="00076574"/>
    <w:p w14:paraId="7CF82BFB" w14:textId="77777777" w:rsidR="00076574" w:rsidRDefault="00076574"/>
    <w:p w14:paraId="67E1BC43" w14:textId="77777777" w:rsidR="00076574" w:rsidRDefault="00076574"/>
    <w:p w14:paraId="59DF85D9" w14:textId="77777777" w:rsidR="00076574" w:rsidRDefault="00076574"/>
    <w:p w14:paraId="097C71AF" w14:textId="77777777" w:rsidR="00076574" w:rsidRDefault="00076574"/>
    <w:p w14:paraId="5F85A1C6" w14:textId="77777777" w:rsidR="00076574" w:rsidRDefault="00076574"/>
    <w:p w14:paraId="12ACB404" w14:textId="77777777" w:rsidR="00076574" w:rsidRDefault="00076574"/>
    <w:p w14:paraId="708DE221" w14:textId="4C5EAE78" w:rsidR="00182E49" w:rsidRDefault="00007181" w:rsidP="00657883">
      <w:r w:rsidRPr="00007181">
        <w:rPr>
          <w:rStyle w:val="Kop1Char"/>
        </w:rPr>
        <w:t>2. Methode</w:t>
      </w:r>
    </w:p>
    <w:p w14:paraId="2C1D7792" w14:textId="3B48ACA0" w:rsidR="00C8534A" w:rsidRDefault="00C763D9" w:rsidP="000443A9">
      <w:pPr>
        <w:rPr>
          <w:lang w:val="en-GB"/>
        </w:rPr>
      </w:pPr>
      <w:r>
        <w:rPr>
          <w:noProof/>
          <w:lang w:val="en-GB"/>
        </w:rPr>
        <mc:AlternateContent>
          <mc:Choice Requires="wps">
            <w:drawing>
              <wp:anchor distT="0" distB="0" distL="114300" distR="114300" simplePos="0" relativeHeight="251693056" behindDoc="0" locked="0" layoutInCell="1" allowOverlap="1" wp14:anchorId="05B25985" wp14:editId="5EEE3BAB">
                <wp:simplePos x="0" y="0"/>
                <wp:positionH relativeFrom="column">
                  <wp:posOffset>769247</wp:posOffset>
                </wp:positionH>
                <wp:positionV relativeFrom="paragraph">
                  <wp:posOffset>4854089</wp:posOffset>
                </wp:positionV>
                <wp:extent cx="45719" cy="138729"/>
                <wp:effectExtent l="114300" t="38100" r="88265" b="90170"/>
                <wp:wrapNone/>
                <wp:docPr id="1057598875" name="Pijl: omlaag 3"/>
                <wp:cNvGraphicFramePr/>
                <a:graphic xmlns:a="http://schemas.openxmlformats.org/drawingml/2006/main">
                  <a:graphicData uri="http://schemas.microsoft.com/office/word/2010/wordprocessingShape">
                    <wps:wsp>
                      <wps:cNvSpPr/>
                      <wps:spPr>
                        <a:xfrm>
                          <a:off x="0" y="0"/>
                          <a:ext cx="45719" cy="138729"/>
                        </a:xfrm>
                        <a:prstGeom prst="downArrow">
                          <a:avLst/>
                        </a:prstGeom>
                        <a:solidFill>
                          <a:srgbClr val="BAC8DA"/>
                        </a:solidFill>
                        <a:ln w="101600">
                          <a:solidFill>
                            <a:srgbClr val="BAC8DA"/>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7215494D"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Pijl: omlaag 3" o:spid="_x0000_s1026" type="#_x0000_t67" style="position:absolute;margin-left:60.55pt;margin-top:382.2pt;width:3.6pt;height:10.9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" adj="18041" fillcolor="#bac8da" strokecolor="#bac8da" strokeweight="8pt"/>
            </w:pict>
          </mc:Fallback>
        </mc:AlternateContent>
      </w:r>
      <w:r w:rsidR="00636BFE">
        <w:rPr>
          <w:noProof/>
        </w:rPr>
        <w:drawing>
          <wp:anchor distT="0" distB="0" distL="114300" distR="114300" simplePos="0" relativeHeight="251664384" behindDoc="1" locked="0" layoutInCell="1" allowOverlap="1" wp14:anchorId="288801E7" wp14:editId="6E13422D">
            <wp:simplePos x="0" y="0"/>
            <wp:positionH relativeFrom="margin">
              <wp:posOffset>4007485</wp:posOffset>
            </wp:positionH>
            <wp:positionV relativeFrom="paragraph">
              <wp:posOffset>4948555</wp:posOffset>
            </wp:positionV>
            <wp:extent cx="2049780" cy="1333315"/>
            <wp:effectExtent l="0" t="0" r="7620" b="635"/>
            <wp:wrapNone/>
            <wp:docPr id="548447641" name="Afbeelding 1" descr="Afbeelding met tekst, software, Computerpictogram, Multimediasoftwar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447641" name="Afbeelding 1" descr="Afbeelding met tekst, software, Computerpictogram, Multimediasoftware&#10;&#10;Door AI gegenereerde inhoud is mogelijk onjuist."/>
                    <pic:cNvPicPr/>
                  </pic:nvPicPr>
                  <pic:blipFill rotWithShape="1">
                    <a:blip r:embed="rId9" cstate="print">
                      <a:extLst>
                        <a:ext uri="{28A0092B-C50C-407E-A947-70E740481C1C}">
                          <a14:useLocalDpi xmlns:a14="http://schemas.microsoft.com/office/drawing/2010/main" val="0"/>
                        </a:ext>
                      </a:extLst>
                    </a:blip>
                    <a:srcRect l="29762" t="30375" r="23170" b="11032"/>
                    <a:stretch>
                      <a:fillRect/>
                    </a:stretch>
                  </pic:blipFill>
                  <pic:spPr bwMode="auto">
                    <a:xfrm>
                      <a:off x="0" y="0"/>
                      <a:ext cx="2049780" cy="13333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97E63">
        <w:t>4 samples van personen zonder RA (ACPA negatief) en 4 samples van personen met RA (</w:t>
      </w:r>
      <w:r w:rsidR="00697E63" w:rsidRPr="00697E63">
        <w:t>diagnose van &gt;12 maanden</w:t>
      </w:r>
      <w:r w:rsidR="00697E63">
        <w:t xml:space="preserve">, ACPA positief) verkregen uit een </w:t>
      </w:r>
      <w:proofErr w:type="spellStart"/>
      <w:r w:rsidR="00697E63">
        <w:t>synoviumbiopt</w:t>
      </w:r>
      <w:proofErr w:type="spellEnd"/>
      <w:r w:rsidR="00697E63">
        <w:t xml:space="preserve">. Informatie over personen is te vinden in </w:t>
      </w:r>
      <w:r w:rsidR="00697E63" w:rsidRPr="00657883">
        <w:rPr>
          <w:highlight w:val="yellow"/>
        </w:rPr>
        <w:t>tabel…. In</w:t>
      </w:r>
      <w:r w:rsidR="00697E63">
        <w:t xml:space="preserve">…. </w:t>
      </w:r>
      <w:proofErr w:type="spellStart"/>
      <w:r w:rsidR="00277778">
        <w:t>Sequencing</w:t>
      </w:r>
      <w:proofErr w:type="spellEnd"/>
      <w:r w:rsidR="00277778">
        <w:t xml:space="preserve"> werd uitgevoerd</w:t>
      </w:r>
      <w:r w:rsidR="00182E49">
        <w:t xml:space="preserve">. </w:t>
      </w:r>
      <w:r w:rsidR="00697E63" w:rsidRPr="00697E63">
        <w:t xml:space="preserve">De </w:t>
      </w:r>
      <w:proofErr w:type="spellStart"/>
      <w:r w:rsidR="00697E63" w:rsidRPr="00697E63">
        <w:t>transcriptomics</w:t>
      </w:r>
      <w:proofErr w:type="spellEnd"/>
      <w:r w:rsidR="00697E63" w:rsidRPr="00697E63">
        <w:t xml:space="preserve"> analyse werd u</w:t>
      </w:r>
      <w:r w:rsidR="00697E63">
        <w:t xml:space="preserve">itgevoerd in R. </w:t>
      </w:r>
      <w:r w:rsidR="00697E63" w:rsidRPr="00697E63">
        <w:t>Het referentiegenoom werd</w:t>
      </w:r>
      <w:r w:rsidR="002354F7">
        <w:t xml:space="preserve"> eerst</w:t>
      </w:r>
      <w:r w:rsidR="00697E63" w:rsidRPr="00697E63">
        <w:t xml:space="preserve"> geïndexeerd m</w:t>
      </w:r>
      <w:r w:rsidR="00697E63">
        <w:t xml:space="preserve">et behulp van het menselijke referentiegenoom uit het </w:t>
      </w:r>
      <w:r w:rsidR="00FF533F">
        <w:t>NCBI-file</w:t>
      </w:r>
      <w:r w:rsidR="00697E63">
        <w:t xml:space="preserve">: </w:t>
      </w:r>
      <w:r w:rsidR="00697E63" w:rsidRPr="00697E63">
        <w:t>GCF_000001405.40_GRCh38.p14_genomic.fna</w:t>
      </w:r>
      <w:r w:rsidR="00697E63">
        <w:t xml:space="preserve">. Hiervoor werden de packages </w:t>
      </w:r>
      <w:proofErr w:type="spellStart"/>
      <w:r w:rsidR="00697E63" w:rsidRPr="00697E63">
        <w:t>BiocManager</w:t>
      </w:r>
      <w:proofErr w:type="spellEnd"/>
      <w:r w:rsidR="00697E63">
        <w:t xml:space="preserve"> (</w:t>
      </w:r>
      <w:r w:rsidR="00365D32" w:rsidRPr="00365D32">
        <w:t xml:space="preserve">Morgan &amp; </w:t>
      </w:r>
      <w:proofErr w:type="spellStart"/>
      <w:r w:rsidR="00365D32" w:rsidRPr="00365D32">
        <w:t>Ramos</w:t>
      </w:r>
      <w:proofErr w:type="spellEnd"/>
      <w:r w:rsidR="00365D32" w:rsidRPr="00365D32">
        <w:t>, 2024,</w:t>
      </w:r>
      <w:r w:rsidR="00365D32" w:rsidRPr="00657883">
        <w:rPr>
          <w:i/>
          <w:iCs/>
        </w:rPr>
        <w:t xml:space="preserve"> </w:t>
      </w:r>
      <w:r w:rsidR="00697E63">
        <w:t>v</w:t>
      </w:r>
      <w:r w:rsidR="00697E63" w:rsidRPr="00697E63">
        <w:t>1.30.25</w:t>
      </w:r>
      <w:r w:rsidR="00697E63">
        <w:t xml:space="preserve">) en </w:t>
      </w:r>
      <w:proofErr w:type="spellStart"/>
      <w:r w:rsidR="00697E63" w:rsidRPr="00365D32">
        <w:t>Rsubread</w:t>
      </w:r>
      <w:proofErr w:type="spellEnd"/>
      <w:r w:rsidR="002354F7" w:rsidRPr="00365D32">
        <w:t xml:space="preserve"> (</w:t>
      </w:r>
      <w:proofErr w:type="spellStart"/>
      <w:r w:rsidR="00365D32" w:rsidRPr="00365D32">
        <w:t>Shi</w:t>
      </w:r>
      <w:proofErr w:type="spellEnd"/>
      <w:r w:rsidR="00365D32" w:rsidRPr="00365D32">
        <w:t xml:space="preserve">, </w:t>
      </w:r>
      <w:proofErr w:type="spellStart"/>
      <w:r w:rsidR="00365D32" w:rsidRPr="00365D32">
        <w:t>Liao</w:t>
      </w:r>
      <w:proofErr w:type="spellEnd"/>
      <w:r w:rsidR="00365D32" w:rsidRPr="00365D32">
        <w:t xml:space="preserve">, &amp; </w:t>
      </w:r>
      <w:proofErr w:type="spellStart"/>
      <w:r w:rsidR="00365D32" w:rsidRPr="00365D32">
        <w:t>Smyth</w:t>
      </w:r>
      <w:proofErr w:type="spellEnd"/>
      <w:r w:rsidR="00365D32" w:rsidRPr="00365D32">
        <w:t>, 2024,</w:t>
      </w:r>
      <w:r w:rsidR="00365D32" w:rsidRPr="00657883">
        <w:rPr>
          <w:i/>
          <w:iCs/>
        </w:rPr>
        <w:t xml:space="preserve"> </w:t>
      </w:r>
      <w:r w:rsidR="002354F7">
        <w:t>v</w:t>
      </w:r>
      <w:r w:rsidR="002354F7" w:rsidRPr="002354F7">
        <w:t>2.20.0</w:t>
      </w:r>
      <w:r w:rsidR="002354F7">
        <w:t>)</w:t>
      </w:r>
      <w:r w:rsidR="00697E63">
        <w:t xml:space="preserve"> gebruikt.</w:t>
      </w:r>
      <w:r w:rsidR="002354F7">
        <w:t xml:space="preserve"> Daarna werden de monsters </w:t>
      </w:r>
      <w:proofErr w:type="spellStart"/>
      <w:r w:rsidR="002354F7">
        <w:t>gemapt</w:t>
      </w:r>
      <w:proofErr w:type="spellEnd"/>
      <w:r w:rsidR="002354F7">
        <w:t xml:space="preserve"> tegen het geïndexeerde referentiegenoom waaruit BAM-files werden verkregen. De BAM-files werden gesorteerd en geïndexeerd met behulp van </w:t>
      </w:r>
      <w:proofErr w:type="spellStart"/>
      <w:r w:rsidR="002354F7" w:rsidRPr="00DE16F5">
        <w:t>Rsamtools</w:t>
      </w:r>
      <w:proofErr w:type="spellEnd"/>
      <w:r w:rsidR="002354F7">
        <w:t xml:space="preserve"> </w:t>
      </w:r>
      <w:r w:rsidR="00365D32" w:rsidRPr="00365D32">
        <w:t>(Morgan et al., 2024,</w:t>
      </w:r>
      <w:r w:rsidR="00365D32" w:rsidRPr="00657883">
        <w:rPr>
          <w:i/>
          <w:iCs/>
        </w:rPr>
        <w:t xml:space="preserve"> </w:t>
      </w:r>
      <w:r w:rsidR="002354F7">
        <w:t>v</w:t>
      </w:r>
      <w:r w:rsidR="002354F7" w:rsidRPr="002354F7">
        <w:t>2.22.0</w:t>
      </w:r>
      <w:r w:rsidR="002354F7">
        <w:t xml:space="preserve">). </w:t>
      </w:r>
      <w:proofErr w:type="spellStart"/>
      <w:r w:rsidR="002354F7" w:rsidRPr="005A7C04">
        <w:t>M.b.v</w:t>
      </w:r>
      <w:proofErr w:type="spellEnd"/>
      <w:r w:rsidR="002354F7" w:rsidRPr="005A7C04">
        <w:t xml:space="preserve"> de packages </w:t>
      </w:r>
      <w:proofErr w:type="spellStart"/>
      <w:r w:rsidR="002354F7" w:rsidRPr="005A7C04">
        <w:t>readr</w:t>
      </w:r>
      <w:proofErr w:type="spellEnd"/>
      <w:r w:rsidR="002354F7" w:rsidRPr="005A7C04">
        <w:t xml:space="preserve"> </w:t>
      </w:r>
      <w:r w:rsidR="005A7C04" w:rsidRPr="005A7C04">
        <w:t>(</w:t>
      </w:r>
      <w:proofErr w:type="spellStart"/>
      <w:r w:rsidR="005A7C04" w:rsidRPr="005A7C04">
        <w:t>Wickham</w:t>
      </w:r>
      <w:proofErr w:type="spellEnd"/>
      <w:r w:rsidR="005A7C04" w:rsidRPr="005A7C04">
        <w:t xml:space="preserve"> et al, 2024,</w:t>
      </w:r>
      <w:r w:rsidR="005A7C04" w:rsidRPr="00657883">
        <w:rPr>
          <w:i/>
          <w:iCs/>
        </w:rPr>
        <w:t xml:space="preserve"> </w:t>
      </w:r>
      <w:r w:rsidR="002354F7" w:rsidRPr="002354F7">
        <w:t>v2.1.5)</w:t>
      </w:r>
      <w:r w:rsidR="002354F7">
        <w:t>,</w:t>
      </w:r>
      <w:r w:rsidR="002354F7" w:rsidRPr="002354F7">
        <w:t xml:space="preserve"> </w:t>
      </w:r>
      <w:proofErr w:type="spellStart"/>
      <w:r w:rsidR="002354F7" w:rsidRPr="002354F7">
        <w:t>dplyr</w:t>
      </w:r>
      <w:proofErr w:type="spellEnd"/>
      <w:r w:rsidR="002354F7" w:rsidRPr="002354F7">
        <w:t xml:space="preserve"> </w:t>
      </w:r>
      <w:r w:rsidR="005A7C04" w:rsidRPr="005A7C04">
        <w:t>(</w:t>
      </w:r>
      <w:proofErr w:type="spellStart"/>
      <w:r w:rsidR="005A7C04" w:rsidRPr="005A7C04">
        <w:t>Wickham</w:t>
      </w:r>
      <w:proofErr w:type="spellEnd"/>
      <w:r w:rsidR="005A7C04" w:rsidRPr="005A7C04">
        <w:t xml:space="preserve"> et al., 2023, </w:t>
      </w:r>
      <w:r w:rsidR="002354F7" w:rsidRPr="002354F7">
        <w:t>v1.1.4)</w:t>
      </w:r>
      <w:r w:rsidR="002354F7">
        <w:t xml:space="preserve">, </w:t>
      </w:r>
      <w:proofErr w:type="spellStart"/>
      <w:r w:rsidR="002354F7" w:rsidRPr="002354F7">
        <w:t>Rsamtools</w:t>
      </w:r>
      <w:proofErr w:type="spellEnd"/>
      <w:r w:rsidR="002354F7" w:rsidRPr="002354F7">
        <w:t xml:space="preserve"> en</w:t>
      </w:r>
      <w:r w:rsidR="002354F7">
        <w:t xml:space="preserve"> </w:t>
      </w:r>
      <w:proofErr w:type="spellStart"/>
      <w:r w:rsidR="002354F7" w:rsidRPr="002354F7">
        <w:t>Rsubread</w:t>
      </w:r>
      <w:proofErr w:type="spellEnd"/>
      <w:r w:rsidR="002354F7" w:rsidRPr="002354F7">
        <w:t xml:space="preserve"> en</w:t>
      </w:r>
      <w:r w:rsidR="002354F7">
        <w:t xml:space="preserve"> het </w:t>
      </w:r>
      <w:proofErr w:type="spellStart"/>
      <w:r w:rsidR="002354F7">
        <w:t>annotation</w:t>
      </w:r>
      <w:proofErr w:type="spellEnd"/>
      <w:r w:rsidR="002354F7">
        <w:t xml:space="preserve"> file </w:t>
      </w:r>
      <w:r w:rsidR="002354F7" w:rsidRPr="002354F7">
        <w:t>GCF_000001405.25_GRCh37.p13_genomic.gtf.gz</w:t>
      </w:r>
      <w:r w:rsidR="002354F7">
        <w:t xml:space="preserve">. van NCBI werd een </w:t>
      </w:r>
      <w:proofErr w:type="spellStart"/>
      <w:r w:rsidR="002354F7">
        <w:t>countmatrix</w:t>
      </w:r>
      <w:proofErr w:type="spellEnd"/>
      <w:r w:rsidR="002354F7">
        <w:t xml:space="preserve"> gemaakt. De statistiek werd uitgevoerd op de </w:t>
      </w:r>
      <w:proofErr w:type="spellStart"/>
      <w:r w:rsidR="002354F7">
        <w:t>count</w:t>
      </w:r>
      <w:proofErr w:type="spellEnd"/>
      <w:r w:rsidR="002354F7">
        <w:t xml:space="preserve"> matrix file: </w:t>
      </w:r>
      <w:r w:rsidR="002354F7" w:rsidRPr="002354F7">
        <w:t>count_matrix.txt</w:t>
      </w:r>
      <w:r w:rsidR="002354F7">
        <w:t xml:space="preserve">. Een </w:t>
      </w:r>
      <w:r w:rsidR="002354F7" w:rsidRPr="002354F7">
        <w:t>DESeq2-analyse</w:t>
      </w:r>
      <w:r w:rsidR="002354F7">
        <w:t xml:space="preserve"> werd uitgevoerd met </w:t>
      </w:r>
      <w:r w:rsidR="002354F7" w:rsidRPr="002354F7">
        <w:t xml:space="preserve">DESeq2 </w:t>
      </w:r>
      <w:r w:rsidR="00F854AE">
        <w:t>(</w:t>
      </w:r>
      <w:r w:rsidR="005A7C04" w:rsidRPr="005A7C04">
        <w:t>Love</w:t>
      </w:r>
      <w:r w:rsidR="005A7C04">
        <w:t xml:space="preserve"> et al., 2024, </w:t>
      </w:r>
      <w:r w:rsidR="00F854AE">
        <w:t>v</w:t>
      </w:r>
      <w:r w:rsidR="00F854AE" w:rsidRPr="00F854AE">
        <w:t>1.46.0</w:t>
      </w:r>
      <w:r w:rsidR="00F854AE">
        <w:t xml:space="preserve">) </w:t>
      </w:r>
      <w:r w:rsidR="002354F7">
        <w:t xml:space="preserve">om </w:t>
      </w:r>
      <w:r w:rsidR="00F854AE">
        <w:t>het aantal</w:t>
      </w:r>
      <w:r w:rsidR="002354F7">
        <w:t xml:space="preserve"> </w:t>
      </w:r>
      <w:r w:rsidR="00F854AE">
        <w:t xml:space="preserve">up- en </w:t>
      </w:r>
      <w:proofErr w:type="spellStart"/>
      <w:r w:rsidR="00F854AE">
        <w:t>downgereguleerde</w:t>
      </w:r>
      <w:proofErr w:type="spellEnd"/>
      <w:r w:rsidR="00F854AE">
        <w:t xml:space="preserve"> genen te bepalen. Hiervoor werd eerst</w:t>
      </w:r>
      <w:r w:rsidR="002354F7">
        <w:t xml:space="preserve"> een treatment </w:t>
      </w:r>
      <w:proofErr w:type="spellStart"/>
      <w:r w:rsidR="002354F7">
        <w:t>table</w:t>
      </w:r>
      <w:proofErr w:type="spellEnd"/>
      <w:r w:rsidR="002354F7">
        <w:t xml:space="preserve"> </w:t>
      </w:r>
      <w:r w:rsidR="00F854AE">
        <w:t xml:space="preserve">en een </w:t>
      </w:r>
      <w:proofErr w:type="spellStart"/>
      <w:r w:rsidR="00F854AE" w:rsidRPr="00F854AE">
        <w:t>DESeqDataSet</w:t>
      </w:r>
      <w:proofErr w:type="spellEnd"/>
      <w:r w:rsidR="00F854AE">
        <w:t xml:space="preserve"> opgesteld waarna de </w:t>
      </w:r>
      <w:proofErr w:type="spellStart"/>
      <w:r w:rsidR="00F854AE" w:rsidRPr="00F854AE">
        <w:t>DESeq</w:t>
      </w:r>
      <w:proofErr w:type="spellEnd"/>
      <w:r w:rsidR="00F854AE">
        <w:t xml:space="preserve"> </w:t>
      </w:r>
      <w:proofErr w:type="spellStart"/>
      <w:r w:rsidR="00F854AE">
        <w:t>anayse</w:t>
      </w:r>
      <w:proofErr w:type="spellEnd"/>
      <w:r w:rsidR="00F854AE">
        <w:t xml:space="preserve"> uitgevoerd en de resultaten werden gevisualiseerd in een </w:t>
      </w:r>
      <w:proofErr w:type="spellStart"/>
      <w:r w:rsidR="00F854AE">
        <w:t>vulcano</w:t>
      </w:r>
      <w:proofErr w:type="spellEnd"/>
      <w:r w:rsidR="00F854AE">
        <w:t xml:space="preserve"> plot </w:t>
      </w:r>
      <w:proofErr w:type="spellStart"/>
      <w:r w:rsidR="00F854AE">
        <w:t>m.b.v</w:t>
      </w:r>
      <w:proofErr w:type="spellEnd"/>
      <w:r w:rsidR="00F854AE">
        <w:t xml:space="preserve"> </w:t>
      </w:r>
      <w:proofErr w:type="spellStart"/>
      <w:r w:rsidR="00F854AE" w:rsidRPr="00F854AE">
        <w:t>EnhancedVolcano</w:t>
      </w:r>
      <w:proofErr w:type="spellEnd"/>
      <w:r w:rsidR="00F854AE">
        <w:t xml:space="preserve"> </w:t>
      </w:r>
      <w:r w:rsidR="005A7C04" w:rsidRPr="005A7C04">
        <w:t>(</w:t>
      </w:r>
      <w:proofErr w:type="spellStart"/>
      <w:r w:rsidR="005A7C04" w:rsidRPr="005A7C04">
        <w:t>Blighe</w:t>
      </w:r>
      <w:proofErr w:type="spellEnd"/>
      <w:r w:rsidR="005A7C04">
        <w:t xml:space="preserve"> et al., 2024, </w:t>
      </w:r>
      <w:r w:rsidR="00F854AE">
        <w:t>v</w:t>
      </w:r>
      <w:r w:rsidR="00F854AE" w:rsidRPr="00F854AE">
        <w:t>1.24.0</w:t>
      </w:r>
      <w:r w:rsidR="00F854AE">
        <w:t xml:space="preserve">) en </w:t>
      </w:r>
      <w:r w:rsidR="00F854AE" w:rsidRPr="005A7C04">
        <w:t>ggplot2 (</w:t>
      </w:r>
      <w:proofErr w:type="spellStart"/>
      <w:r w:rsidR="005A7C04" w:rsidRPr="005A7C04">
        <w:t>Wickham</w:t>
      </w:r>
      <w:proofErr w:type="spellEnd"/>
      <w:r w:rsidR="005A7C04" w:rsidRPr="005A7C04">
        <w:t xml:space="preserve"> et al., 2024</w:t>
      </w:r>
      <w:r w:rsidR="005A7C04">
        <w:rPr>
          <w:i/>
          <w:iCs/>
        </w:rPr>
        <w:t xml:space="preserve">, </w:t>
      </w:r>
      <w:r w:rsidR="00F854AE">
        <w:t>v</w:t>
      </w:r>
      <w:r w:rsidR="00F854AE" w:rsidRPr="00F854AE">
        <w:t>3.5.2</w:t>
      </w:r>
      <w:r w:rsidR="00F854AE">
        <w:t xml:space="preserve">). Een </w:t>
      </w:r>
      <w:r w:rsidR="00F854AE" w:rsidRPr="00F854AE">
        <w:t xml:space="preserve">Gene </w:t>
      </w:r>
      <w:proofErr w:type="spellStart"/>
      <w:r w:rsidR="00F854AE" w:rsidRPr="00F854AE">
        <w:t>Ontology</w:t>
      </w:r>
      <w:proofErr w:type="spellEnd"/>
      <w:r w:rsidR="00F854AE" w:rsidRPr="00F854AE">
        <w:t xml:space="preserve"> (GO)-verrijkingsanalyse</w:t>
      </w:r>
      <w:r w:rsidR="00F854AE">
        <w:t xml:space="preserve"> werd </w:t>
      </w:r>
      <w:proofErr w:type="spellStart"/>
      <w:r w:rsidR="00F854AE">
        <w:lastRenderedPageBreak/>
        <w:t>m.b.v</w:t>
      </w:r>
      <w:proofErr w:type="spellEnd"/>
      <w:r w:rsidR="00F854AE">
        <w:t xml:space="preserve"> </w:t>
      </w:r>
      <w:proofErr w:type="spellStart"/>
      <w:r w:rsidR="00F854AE" w:rsidRPr="00F854AE">
        <w:t>goseq</w:t>
      </w:r>
      <w:proofErr w:type="spellEnd"/>
      <w:r w:rsidR="00F854AE">
        <w:t xml:space="preserve"> </w:t>
      </w:r>
      <w:r w:rsidR="00E97B79" w:rsidRPr="00657883">
        <w:t>(</w:t>
      </w:r>
      <w:r w:rsidR="000443A9" w:rsidRPr="00657883">
        <w:t xml:space="preserve">Young, Davidson, &amp; </w:t>
      </w:r>
      <w:proofErr w:type="spellStart"/>
      <w:r w:rsidR="000443A9" w:rsidRPr="00657883">
        <w:t>Marini</w:t>
      </w:r>
      <w:proofErr w:type="spellEnd"/>
      <w:r w:rsidR="000443A9" w:rsidRPr="000443A9">
        <w:rPr>
          <w:i/>
          <w:iCs/>
        </w:rPr>
        <w:t>, 2024,</w:t>
      </w:r>
      <w:r w:rsidR="00E97B79">
        <w:rPr>
          <w:i/>
          <w:iCs/>
        </w:rPr>
        <w:t xml:space="preserve"> </w:t>
      </w:r>
      <w:r w:rsidR="00F854AE">
        <w:t>v</w:t>
      </w:r>
      <w:r w:rsidR="00F854AE" w:rsidRPr="00F854AE">
        <w:t>1.58.0</w:t>
      </w:r>
      <w:r w:rsidR="00F854AE">
        <w:t xml:space="preserve">), </w:t>
      </w:r>
      <w:proofErr w:type="spellStart"/>
      <w:r w:rsidR="00F854AE" w:rsidRPr="00F854AE">
        <w:t>geneLenDataBase</w:t>
      </w:r>
      <w:proofErr w:type="spellEnd"/>
      <w:r w:rsidR="00F854AE">
        <w:t xml:space="preserve"> </w:t>
      </w:r>
      <w:r w:rsidR="00F854AE" w:rsidRPr="00657883">
        <w:t>(</w:t>
      </w:r>
      <w:r w:rsidR="000443A9" w:rsidRPr="00657883">
        <w:t xml:space="preserve">Young, Davidson, &amp; </w:t>
      </w:r>
      <w:proofErr w:type="spellStart"/>
      <w:r w:rsidR="000443A9" w:rsidRPr="00657883">
        <w:t>Marini</w:t>
      </w:r>
      <w:proofErr w:type="spellEnd"/>
      <w:r w:rsidR="000443A9" w:rsidRPr="00657883">
        <w:t>, 2024</w:t>
      </w:r>
      <w:r w:rsidR="000443A9">
        <w:rPr>
          <w:i/>
          <w:iCs/>
        </w:rPr>
        <w:t xml:space="preserve">, </w:t>
      </w:r>
      <w:r w:rsidR="00F854AE">
        <w:t xml:space="preserve">v </w:t>
      </w:r>
      <w:r w:rsidR="00F854AE" w:rsidRPr="00F854AE">
        <w:t>1.42.0</w:t>
      </w:r>
      <w:r w:rsidR="00F854AE">
        <w:t xml:space="preserve">) en </w:t>
      </w:r>
      <w:proofErr w:type="spellStart"/>
      <w:r w:rsidR="00F854AE" w:rsidRPr="00F854AE">
        <w:t>org.Dm.eg.db</w:t>
      </w:r>
      <w:proofErr w:type="spellEnd"/>
      <w:r w:rsidR="00F854AE">
        <w:t xml:space="preserve">  </w:t>
      </w:r>
      <w:r w:rsidR="00F854AE" w:rsidRPr="009518BE">
        <w:t>(</w:t>
      </w:r>
      <w:r w:rsidR="00365D32" w:rsidRPr="009518BE">
        <w:t>Carlson, 2023</w:t>
      </w:r>
      <w:r w:rsidR="00365D32">
        <w:rPr>
          <w:i/>
          <w:iCs/>
        </w:rPr>
        <w:t xml:space="preserve">, </w:t>
      </w:r>
      <w:r w:rsidR="00F854AE">
        <w:t xml:space="preserve">v </w:t>
      </w:r>
      <w:r w:rsidR="00F854AE" w:rsidRPr="00F854AE">
        <w:t>3.20.0</w:t>
      </w:r>
      <w:r w:rsidR="00F854AE">
        <w:t xml:space="preserve">) uitgevoerd om een beeld te krijgen van betrokken </w:t>
      </w:r>
      <w:proofErr w:type="spellStart"/>
      <w:r w:rsidR="00F854AE">
        <w:t>pathways</w:t>
      </w:r>
      <w:proofErr w:type="spellEnd"/>
      <w:r w:rsidR="00F854AE">
        <w:t xml:space="preserve"> in het ziekteproces. </w:t>
      </w:r>
      <w:r w:rsidR="001834E4">
        <w:t xml:space="preserve">Eerst werd een tabel gemaakt met </w:t>
      </w:r>
      <w:r w:rsidR="001834E4" w:rsidRPr="001834E4">
        <w:t xml:space="preserve">significante </w:t>
      </w:r>
      <w:r w:rsidR="00E97B79" w:rsidRPr="001834E4">
        <w:t>differentiële</w:t>
      </w:r>
      <w:r w:rsidR="001834E4" w:rsidRPr="001834E4">
        <w:t xml:space="preserve"> genen</w:t>
      </w:r>
      <w:r w:rsidR="001834E4">
        <w:t xml:space="preserve"> en een subset met </w:t>
      </w:r>
      <w:proofErr w:type="spellStart"/>
      <w:r w:rsidR="001834E4" w:rsidRPr="001834E4">
        <w:t>padj</w:t>
      </w:r>
      <w:proofErr w:type="spellEnd"/>
      <w:r w:rsidR="001834E4" w:rsidRPr="001834E4">
        <w:t xml:space="preserve"> &lt; 0.05 </w:t>
      </w:r>
      <w:r w:rsidR="001834E4">
        <w:t xml:space="preserve">en </w:t>
      </w:r>
      <w:r w:rsidR="001834E4" w:rsidRPr="001834E4">
        <w:t>log2FoldChange &gt; 1</w:t>
      </w:r>
      <w:r w:rsidR="00E97B79">
        <w:t xml:space="preserve"> waarna een </w:t>
      </w:r>
      <w:proofErr w:type="spellStart"/>
      <w:r w:rsidR="00E97B79" w:rsidRPr="00E97B79">
        <w:t>pwf</w:t>
      </w:r>
      <w:proofErr w:type="spellEnd"/>
      <w:r w:rsidR="00E97B79" w:rsidRPr="00E97B79">
        <w:t xml:space="preserve"> analyse </w:t>
      </w:r>
      <w:r w:rsidR="00E97B79">
        <w:t xml:space="preserve">met genoom </w:t>
      </w:r>
      <w:r w:rsidR="00E97B79" w:rsidRPr="00E97B79">
        <w:t>"hg19"</w:t>
      </w:r>
      <w:r w:rsidR="00E97B79">
        <w:t xml:space="preserve"> en annotatiefile </w:t>
      </w:r>
      <w:r w:rsidR="00E97B79" w:rsidRPr="00E97B79">
        <w:t xml:space="preserve"> "</w:t>
      </w:r>
      <w:proofErr w:type="spellStart"/>
      <w:r w:rsidR="00E97B79" w:rsidRPr="00E97B79">
        <w:t>geneSymbol</w:t>
      </w:r>
      <w:proofErr w:type="spellEnd"/>
      <w:r w:rsidR="00E97B79" w:rsidRPr="00E97B79">
        <w:t xml:space="preserve">" </w:t>
      </w:r>
      <w:r w:rsidR="00E97B79">
        <w:t xml:space="preserve">uit de </w:t>
      </w:r>
      <w:proofErr w:type="spellStart"/>
      <w:r w:rsidR="00E97B79" w:rsidRPr="00E97B79">
        <w:t>geneLenDataBase</w:t>
      </w:r>
      <w:proofErr w:type="spellEnd"/>
      <w:r w:rsidR="00E97B79">
        <w:t xml:space="preserve"> package. </w:t>
      </w:r>
      <w:r w:rsidR="00E97B79" w:rsidRPr="00E97B79">
        <w:t xml:space="preserve">Daarna weden </w:t>
      </w:r>
      <w:proofErr w:type="spellStart"/>
      <w:r w:rsidR="00E97B79" w:rsidRPr="00E97B79">
        <w:t>enriched</w:t>
      </w:r>
      <w:proofErr w:type="spellEnd"/>
      <w:r w:rsidR="00E97B79" w:rsidRPr="00E97B79">
        <w:t xml:space="preserve"> GO </w:t>
      </w:r>
      <w:proofErr w:type="spellStart"/>
      <w:r w:rsidR="00E97B79" w:rsidRPr="00E97B79">
        <w:t>terms</w:t>
      </w:r>
      <w:proofErr w:type="spellEnd"/>
      <w:r w:rsidR="00E97B79" w:rsidRPr="00E97B79">
        <w:t xml:space="preserve"> een GO analyse op </w:t>
      </w:r>
      <w:r w:rsidR="00E97B79">
        <w:t xml:space="preserve">gedaan en de </w:t>
      </w:r>
      <w:r w:rsidR="00E97B79" w:rsidRPr="00E97B79">
        <w:t>10 meest significante resultaten</w:t>
      </w:r>
      <w:r w:rsidR="00E97B79">
        <w:t xml:space="preserve"> werden geplot in een puntdiagram. Een KEGG </w:t>
      </w:r>
      <w:proofErr w:type="spellStart"/>
      <w:r w:rsidR="00E97B79">
        <w:t>pathway</w:t>
      </w:r>
      <w:proofErr w:type="spellEnd"/>
      <w:r w:rsidR="00E97B79">
        <w:t xml:space="preserve"> analyse werd uitgevoerd </w:t>
      </w:r>
      <w:proofErr w:type="spellStart"/>
      <w:r w:rsidR="00E97B79">
        <w:t>m.b.v</w:t>
      </w:r>
      <w:proofErr w:type="spellEnd"/>
      <w:r w:rsidR="00E97B79">
        <w:t xml:space="preserve"> </w:t>
      </w:r>
      <w:r w:rsidR="00E97B79" w:rsidRPr="00F854AE">
        <w:t xml:space="preserve">KEGGREST </w:t>
      </w:r>
      <w:r w:rsidR="00E97B79" w:rsidRPr="000443A9">
        <w:t>(</w:t>
      </w:r>
      <w:proofErr w:type="spellStart"/>
      <w:r w:rsidR="000443A9" w:rsidRPr="000443A9">
        <w:t>Tenenbaum</w:t>
      </w:r>
      <w:proofErr w:type="spellEnd"/>
      <w:r w:rsidR="000443A9" w:rsidRPr="000443A9">
        <w:t xml:space="preserve"> et al., 2024, </w:t>
      </w:r>
      <w:r w:rsidR="00E97B79">
        <w:t>v</w:t>
      </w:r>
      <w:r w:rsidR="00E97B79" w:rsidRPr="00F854AE">
        <w:t>1.46.0</w:t>
      </w:r>
      <w:r w:rsidR="00E97B79">
        <w:t xml:space="preserve">) en de resultaten van de GO analyse waarbij de </w:t>
      </w:r>
      <w:proofErr w:type="spellStart"/>
      <w:r w:rsidR="00E97B79">
        <w:t>pathway</w:t>
      </w:r>
      <w:proofErr w:type="spellEnd"/>
      <w:r w:rsidR="00E97B79">
        <w:t xml:space="preserve">….. </w:t>
      </w:r>
      <w:proofErr w:type="spellStart"/>
      <w:r w:rsidR="00E97B79" w:rsidRPr="00365D32">
        <w:rPr>
          <w:lang w:val="en-GB"/>
        </w:rPr>
        <w:t>werd</w:t>
      </w:r>
      <w:proofErr w:type="spellEnd"/>
      <w:r w:rsidR="00E97B79" w:rsidRPr="00365D32">
        <w:rPr>
          <w:lang w:val="en-GB"/>
        </w:rPr>
        <w:t xml:space="preserve"> </w:t>
      </w:r>
      <w:proofErr w:type="spellStart"/>
      <w:r w:rsidR="00E97B79" w:rsidRPr="00365D32">
        <w:rPr>
          <w:lang w:val="en-GB"/>
        </w:rPr>
        <w:t>geanalyseerd</w:t>
      </w:r>
      <w:proofErr w:type="spellEnd"/>
      <w:r w:rsidR="00E97B79" w:rsidRPr="00365D32">
        <w:rPr>
          <w:lang w:val="en-GB"/>
        </w:rPr>
        <w:t xml:space="preserve"> </w:t>
      </w:r>
      <w:proofErr w:type="spellStart"/>
      <w:r w:rsidR="00E97B79" w:rsidRPr="00365D32">
        <w:rPr>
          <w:lang w:val="en-GB"/>
        </w:rPr>
        <w:t>m.b.v</w:t>
      </w:r>
      <w:proofErr w:type="spellEnd"/>
      <w:r w:rsidR="00E97B79" w:rsidRPr="00365D32">
        <w:rPr>
          <w:lang w:val="en-GB"/>
        </w:rPr>
        <w:t xml:space="preserve"> </w:t>
      </w:r>
      <w:proofErr w:type="spellStart"/>
      <w:r w:rsidR="00E97B79" w:rsidRPr="00365D32">
        <w:rPr>
          <w:lang w:val="en-GB"/>
        </w:rPr>
        <w:t>pathview</w:t>
      </w:r>
      <w:proofErr w:type="spellEnd"/>
      <w:r w:rsidR="00E97B79" w:rsidRPr="00365D32">
        <w:rPr>
          <w:lang w:val="en-GB"/>
        </w:rPr>
        <w:t xml:space="preserve"> </w:t>
      </w:r>
      <w:r w:rsidR="00E97B79" w:rsidRPr="000443A9">
        <w:rPr>
          <w:lang w:val="en-GB"/>
        </w:rPr>
        <w:t>(</w:t>
      </w:r>
      <w:proofErr w:type="spellStart"/>
      <w:r w:rsidR="000443A9" w:rsidRPr="000443A9">
        <w:t>Luo</w:t>
      </w:r>
      <w:proofErr w:type="spellEnd"/>
      <w:r w:rsidR="000443A9" w:rsidRPr="000443A9">
        <w:t>, 2024</w:t>
      </w:r>
      <w:r w:rsidR="000443A9">
        <w:rPr>
          <w:i/>
          <w:iCs/>
        </w:rPr>
        <w:t xml:space="preserve">, </w:t>
      </w:r>
      <w:r w:rsidR="00E97B79" w:rsidRPr="00365D32">
        <w:rPr>
          <w:lang w:val="en-GB"/>
        </w:rPr>
        <w:t xml:space="preserve">v1.46.0). </w:t>
      </w:r>
      <w:r w:rsidR="00E97B79" w:rsidRPr="00E97B79">
        <w:rPr>
          <w:highlight w:val="yellow"/>
          <w:lang w:val="en-GB"/>
        </w:rPr>
        <w:t>pathway</w:t>
      </w:r>
    </w:p>
    <w:p w14:paraId="69BD1D5B" w14:textId="3EB49513" w:rsidR="00C8534A" w:rsidRPr="00C8534A" w:rsidRDefault="00C8534A" w:rsidP="000443A9">
      <w:pPr>
        <w:rPr>
          <w:lang w:val="en-GB"/>
        </w:rPr>
      </w:pPr>
    </w:p>
    <w:p w14:paraId="0004DC62" w14:textId="19AC1B61" w:rsidR="00E97B79" w:rsidRDefault="00E97B79" w:rsidP="00E97B79">
      <w:pPr>
        <w:rPr>
          <w:lang w:val="en-GB"/>
        </w:rPr>
      </w:pPr>
    </w:p>
    <w:p w14:paraId="7A5991BF" w14:textId="77777777" w:rsidR="00B80D8B" w:rsidRDefault="00B80D8B">
      <w:pPr>
        <w:rPr>
          <w:rStyle w:val="Kop1Char"/>
        </w:rPr>
      </w:pPr>
    </w:p>
    <w:p w14:paraId="7D1E1D0B" w14:textId="20EA30CE" w:rsidR="00855DDC" w:rsidRDefault="00452314">
      <w:r w:rsidRPr="00452314">
        <w:rPr>
          <w:rStyle w:val="Kop1Char"/>
        </w:rPr>
        <w:t>3. Resultaten</w:t>
      </w:r>
      <w:r w:rsidR="005C20DF" w:rsidRPr="005C20DF">
        <w:br/>
        <w:t>- Resultaten: +- 200 woorden, inclusief correcte verwijzingen</w:t>
      </w:r>
    </w:p>
    <w:p w14:paraId="12F70421" w14:textId="5DFE6A70" w:rsidR="00E4768F" w:rsidRDefault="00E4768F">
      <w:hyperlink r:id="rId10" w:history="1">
        <w:r w:rsidRPr="00E4768F">
          <w:rPr>
            <w:rStyle w:val="Hyperlink"/>
            <w:highlight w:val="yellow"/>
          </w:rPr>
          <w:t>https://www.nature.com/articles/s42003-022-03050-3.pdf</w:t>
        </w:r>
      </w:hyperlink>
    </w:p>
    <w:p w14:paraId="6A547601" w14:textId="392CF621" w:rsidR="00B32847" w:rsidRPr="00751DDC" w:rsidRDefault="00B32847"/>
    <w:p w14:paraId="66013C2F" w14:textId="1314DD62" w:rsidR="003A05A0" w:rsidRDefault="003A05A0">
      <w:r w:rsidRPr="003A05A0">
        <w:t xml:space="preserve">Er </w:t>
      </w:r>
      <w:r w:rsidR="00EB4455">
        <w:t>werd</w:t>
      </w:r>
      <w:r w:rsidRPr="003A05A0">
        <w:t xml:space="preserve"> een </w:t>
      </w:r>
      <w:proofErr w:type="spellStart"/>
      <w:r w:rsidRPr="003A05A0">
        <w:t>transcriptomics</w:t>
      </w:r>
      <w:proofErr w:type="spellEnd"/>
      <w:r w:rsidRPr="003A05A0">
        <w:t xml:space="preserve"> a</w:t>
      </w:r>
      <w:r>
        <w:t xml:space="preserve">nalyse in R uitgevoerd waarbij de een </w:t>
      </w:r>
      <w:proofErr w:type="spellStart"/>
      <w:r w:rsidRPr="00F854AE">
        <w:t>DESeq</w:t>
      </w:r>
      <w:proofErr w:type="spellEnd"/>
      <w:r>
        <w:t xml:space="preserve">, GO en </w:t>
      </w:r>
      <w:r w:rsidR="00082FA6">
        <w:t>KEGG-analyses</w:t>
      </w:r>
      <w:r>
        <w:t xml:space="preserve"> werden toegepast. </w:t>
      </w:r>
    </w:p>
    <w:p w14:paraId="2B70C197" w14:textId="04A3D288" w:rsidR="00AA1616" w:rsidRDefault="003A05A0">
      <w:r>
        <w:t xml:space="preserve">Een </w:t>
      </w:r>
      <w:proofErr w:type="spellStart"/>
      <w:r w:rsidRPr="00F854AE">
        <w:t>DESeq</w:t>
      </w:r>
      <w:proofErr w:type="spellEnd"/>
      <w:r>
        <w:t xml:space="preserve"> analyse werd uitgevoerd om het aantal </w:t>
      </w:r>
      <w:r w:rsidR="00EB4455">
        <w:t>differentiële</w:t>
      </w:r>
      <w:r>
        <w:t xml:space="preserve"> significante up- en </w:t>
      </w:r>
      <w:proofErr w:type="spellStart"/>
      <w:r>
        <w:t>downgereguleerde</w:t>
      </w:r>
      <w:proofErr w:type="spellEnd"/>
      <w:r>
        <w:t xml:space="preserve"> genen te bepalen. De resultaten zijn weergegeven in </w:t>
      </w:r>
      <w:r w:rsidRPr="00EB4455">
        <w:rPr>
          <w:highlight w:val="yellow"/>
        </w:rPr>
        <w:t>figuur</w:t>
      </w:r>
      <w:r>
        <w:t xml:space="preserve"> … waarin een </w:t>
      </w:r>
      <w:proofErr w:type="spellStart"/>
      <w:r>
        <w:t>vulcano</w:t>
      </w:r>
      <w:proofErr w:type="spellEnd"/>
      <w:r>
        <w:t xml:space="preserve"> plot is weergegeven. </w:t>
      </w:r>
      <w:r w:rsidRPr="003A05A0">
        <w:t xml:space="preserve">De meest statistische significante genen die </w:t>
      </w:r>
      <w:proofErr w:type="spellStart"/>
      <w:r w:rsidRPr="003A05A0">
        <w:t>upgereguleerd</w:t>
      </w:r>
      <w:proofErr w:type="spellEnd"/>
      <w:r w:rsidRPr="003A05A0">
        <w:t xml:space="preserve"> waren in reuma </w:t>
      </w:r>
      <w:proofErr w:type="spellStart"/>
      <w:r w:rsidRPr="003A05A0">
        <w:t>patienten</w:t>
      </w:r>
      <w:proofErr w:type="spellEnd"/>
      <w:r w:rsidRPr="003A05A0">
        <w:t xml:space="preserve"> waren </w:t>
      </w:r>
      <w:r w:rsidR="00076574" w:rsidRPr="003A05A0">
        <w:t>SRGN, BCL2A1</w:t>
      </w:r>
      <w:r w:rsidR="00076574">
        <w:t xml:space="preserve"> </w:t>
      </w:r>
      <w:r>
        <w:t xml:space="preserve">en </w:t>
      </w:r>
      <w:proofErr w:type="spellStart"/>
      <w:r>
        <w:t>downgeregulleerde</w:t>
      </w:r>
      <w:proofErr w:type="spellEnd"/>
      <w:r>
        <w:t xml:space="preserve"> genen waren</w:t>
      </w:r>
      <w:r w:rsidRPr="003A05A0">
        <w:t xml:space="preserve"> </w:t>
      </w:r>
      <w:r w:rsidR="00076574" w:rsidRPr="003A05A0">
        <w:t>ANKRD30BL, MT-ND6, SLC9A3R2, ZNF598</w:t>
      </w:r>
      <w:r>
        <w:t>.</w:t>
      </w:r>
      <w:r w:rsidR="00EB4455">
        <w:t xml:space="preserve"> </w:t>
      </w:r>
    </w:p>
    <w:p w14:paraId="07490382" w14:textId="4E38DF28" w:rsidR="00EB4455" w:rsidRDefault="00EB4455">
      <w:r>
        <w:t xml:space="preserve">Een GO </w:t>
      </w:r>
      <w:proofErr w:type="spellStart"/>
      <w:r>
        <w:t>analse</w:t>
      </w:r>
      <w:proofErr w:type="spellEnd"/>
      <w:r>
        <w:t xml:space="preserve"> werd uitgevoerd om </w:t>
      </w:r>
      <w:proofErr w:type="spellStart"/>
      <w:r>
        <w:t>differentiele</w:t>
      </w:r>
      <w:proofErr w:type="spellEnd"/>
      <w:r>
        <w:t xml:space="preserve"> significante </w:t>
      </w:r>
      <w:proofErr w:type="spellStart"/>
      <w:r>
        <w:t>path</w:t>
      </w:r>
      <w:r w:rsidR="00FF533F">
        <w:t>ways</w:t>
      </w:r>
      <w:proofErr w:type="spellEnd"/>
      <w:r>
        <w:t xml:space="preserve"> te bepalen. Uit de </w:t>
      </w:r>
      <w:r w:rsidR="00FF533F">
        <w:t>GO-analyse</w:t>
      </w:r>
      <w:r>
        <w:t xml:space="preserve"> werd gevisualiseerd in </w:t>
      </w:r>
      <w:r w:rsidRPr="00EB4455">
        <w:rPr>
          <w:highlight w:val="yellow"/>
        </w:rPr>
        <w:t>figuur</w:t>
      </w:r>
      <w:r>
        <w:t xml:space="preserve"> …. Waarin de GO </w:t>
      </w:r>
      <w:proofErr w:type="spellStart"/>
      <w:r>
        <w:t>pathways</w:t>
      </w:r>
      <w:proofErr w:type="spellEnd"/>
      <w:r>
        <w:t xml:space="preserve"> zijn weergegeven met de significantie</w:t>
      </w:r>
      <w:r w:rsidR="00FF533F">
        <w:t xml:space="preserve">, het aantal hits en het aantal </w:t>
      </w:r>
      <w:proofErr w:type="spellStart"/>
      <w:r w:rsidR="00FF533F">
        <w:t>counts</w:t>
      </w:r>
      <w:proofErr w:type="spellEnd"/>
      <w:r>
        <w:t xml:space="preserve">. Uit de analyse bleek dat de </w:t>
      </w:r>
      <w:proofErr w:type="spellStart"/>
      <w:r>
        <w:t>pathway</w:t>
      </w:r>
      <w:proofErr w:type="spellEnd"/>
      <w:r>
        <w:t xml:space="preserve"> ‘</w:t>
      </w:r>
      <w:proofErr w:type="spellStart"/>
      <w:r>
        <w:t>positive</w:t>
      </w:r>
      <w:proofErr w:type="spellEnd"/>
      <w:r>
        <w:t xml:space="preserve"> </w:t>
      </w:r>
      <w:proofErr w:type="spellStart"/>
      <w:r>
        <w:t>regulation</w:t>
      </w:r>
      <w:proofErr w:type="spellEnd"/>
      <w:r>
        <w:t xml:space="preserve"> of </w:t>
      </w:r>
      <w:proofErr w:type="spellStart"/>
      <w:r>
        <w:t>cellular</w:t>
      </w:r>
      <w:proofErr w:type="spellEnd"/>
      <w:r>
        <w:t xml:space="preserve"> proces’</w:t>
      </w:r>
      <w:r w:rsidR="00FF533F">
        <w:t xml:space="preserve"> en </w:t>
      </w:r>
      <w:r>
        <w:t>‘</w:t>
      </w:r>
      <w:proofErr w:type="spellStart"/>
      <w:r>
        <w:t>positive</w:t>
      </w:r>
      <w:proofErr w:type="spellEnd"/>
      <w:r>
        <w:t xml:space="preserve"> </w:t>
      </w:r>
      <w:proofErr w:type="spellStart"/>
      <w:r>
        <w:t>regulation</w:t>
      </w:r>
      <w:proofErr w:type="spellEnd"/>
      <w:r>
        <w:t xml:space="preserve"> of </w:t>
      </w:r>
      <w:proofErr w:type="spellStart"/>
      <w:r>
        <w:t>biological</w:t>
      </w:r>
      <w:proofErr w:type="spellEnd"/>
      <w:r>
        <w:t xml:space="preserve"> </w:t>
      </w:r>
      <w:proofErr w:type="spellStart"/>
      <w:r>
        <w:t>process</w:t>
      </w:r>
      <w:proofErr w:type="spellEnd"/>
      <w:r>
        <w:t>’</w:t>
      </w:r>
      <w:r w:rsidR="00FF533F">
        <w:t xml:space="preserve"> zowel een hoge hit </w:t>
      </w:r>
      <w:r w:rsidR="00082FA6">
        <w:t>percentage</w:t>
      </w:r>
      <w:r w:rsidR="00FF533F">
        <w:t xml:space="preserve"> als p-</w:t>
      </w:r>
      <w:proofErr w:type="spellStart"/>
      <w:r w:rsidR="00FF533F">
        <w:t>value</w:t>
      </w:r>
      <w:proofErr w:type="spellEnd"/>
      <w:r w:rsidR="00FF533F">
        <w:t xml:space="preserve"> als </w:t>
      </w:r>
      <w:proofErr w:type="spellStart"/>
      <w:r w:rsidR="00FF533F">
        <w:t>counts</w:t>
      </w:r>
      <w:proofErr w:type="spellEnd"/>
      <w:r w:rsidR="00FF533F">
        <w:t xml:space="preserve"> hadden. Daarnaast waren ook ‘immune system </w:t>
      </w:r>
      <w:proofErr w:type="spellStart"/>
      <w:r w:rsidR="00FF533F">
        <w:t>process</w:t>
      </w:r>
      <w:proofErr w:type="spellEnd"/>
      <w:r w:rsidR="00FF533F">
        <w:t>’ en ‘immune response’ en ‘</w:t>
      </w:r>
      <w:proofErr w:type="spellStart"/>
      <w:r w:rsidR="00FF533F">
        <w:t>regulation</w:t>
      </w:r>
      <w:proofErr w:type="spellEnd"/>
      <w:r w:rsidR="00FF533F">
        <w:t xml:space="preserve"> of respons </w:t>
      </w:r>
      <w:proofErr w:type="spellStart"/>
      <w:r w:rsidR="00FF533F">
        <w:t>to</w:t>
      </w:r>
      <w:proofErr w:type="spellEnd"/>
      <w:r w:rsidR="00FF533F">
        <w:t xml:space="preserve"> stimulus’ een hoge significantie, veel hit percentage en minder </w:t>
      </w:r>
      <w:proofErr w:type="spellStart"/>
      <w:r w:rsidR="00FF533F">
        <w:t>counts</w:t>
      </w:r>
      <w:proofErr w:type="spellEnd"/>
      <w:r w:rsidR="00FF533F">
        <w:t xml:space="preserve">. Omdat uit de </w:t>
      </w:r>
      <w:r w:rsidR="001218EF">
        <w:t>GO-analyse</w:t>
      </w:r>
      <w:r w:rsidR="00FF533F">
        <w:t xml:space="preserve"> bleek dat de ‘</w:t>
      </w:r>
      <w:r w:rsidR="00C36DB2">
        <w:t xml:space="preserve">immune system </w:t>
      </w:r>
      <w:proofErr w:type="spellStart"/>
      <w:r w:rsidR="00C36DB2">
        <w:t>process</w:t>
      </w:r>
      <w:proofErr w:type="spellEnd"/>
      <w:r w:rsidR="00C36DB2">
        <w:t>’</w:t>
      </w:r>
      <w:r w:rsidR="00FF533F">
        <w:t xml:space="preserve"> een hoge </w:t>
      </w:r>
      <w:proofErr w:type="spellStart"/>
      <w:r w:rsidR="00FF533F">
        <w:t>count</w:t>
      </w:r>
      <w:proofErr w:type="spellEnd"/>
      <w:r w:rsidR="00FF533F">
        <w:t xml:space="preserve"> en hits en p-</w:t>
      </w:r>
      <w:proofErr w:type="spellStart"/>
      <w:r w:rsidR="00FF533F">
        <w:t>value</w:t>
      </w:r>
      <w:proofErr w:type="spellEnd"/>
      <w:r w:rsidR="00FF533F">
        <w:t xml:space="preserve"> hadden werd hier verder onderzoek naar gedaan met de KEGG analyse</w:t>
      </w:r>
      <w:r w:rsidR="00C36DB2">
        <w:t xml:space="preserve">, omdat deze </w:t>
      </w:r>
      <w:proofErr w:type="spellStart"/>
      <w:r w:rsidR="00C36DB2">
        <w:t>pathwat</w:t>
      </w:r>
      <w:proofErr w:type="spellEnd"/>
      <w:r w:rsidR="00C36DB2">
        <w:t xml:space="preserve"> relevant is in verband met reuma</w:t>
      </w:r>
      <w:r w:rsidR="00FF533F">
        <w:t xml:space="preserve">. </w:t>
      </w:r>
    </w:p>
    <w:p w14:paraId="701A76C1" w14:textId="03DE2A49" w:rsidR="00FF533F" w:rsidRDefault="00FF533F">
      <w:r>
        <w:t xml:space="preserve">De KEGG analyse werd uitgevoerd op de </w:t>
      </w:r>
      <w:proofErr w:type="spellStart"/>
      <w:r>
        <w:t>pathway</w:t>
      </w:r>
      <w:proofErr w:type="spellEnd"/>
      <w:r>
        <w:t xml:space="preserve"> ‘</w:t>
      </w:r>
      <w:r w:rsidR="00C36DB2">
        <w:t xml:space="preserve">immune system </w:t>
      </w:r>
      <w:proofErr w:type="spellStart"/>
      <w:r w:rsidR="00C36DB2">
        <w:t>process</w:t>
      </w:r>
      <w:proofErr w:type="spellEnd"/>
      <w:r w:rsidR="00C36DB2">
        <w:t xml:space="preserve">’ </w:t>
      </w:r>
      <w:r>
        <w:t xml:space="preserve">met de KEGG ID: </w:t>
      </w:r>
      <w:r w:rsidRPr="00FF533F">
        <w:t>hsa04010</w:t>
      </w:r>
      <w:r>
        <w:t xml:space="preserve">. De resultaten zijn weergegeven in </w:t>
      </w:r>
      <w:r w:rsidRPr="00FF533F">
        <w:rPr>
          <w:highlight w:val="yellow"/>
        </w:rPr>
        <w:t>figuur</w:t>
      </w:r>
      <w:r>
        <w:t xml:space="preserve"> … waarin de </w:t>
      </w:r>
      <w:proofErr w:type="spellStart"/>
      <w:r>
        <w:t>pathway</w:t>
      </w:r>
      <w:proofErr w:type="spellEnd"/>
    </w:p>
    <w:p w14:paraId="1A6E2FDF" w14:textId="277C4569" w:rsidR="001861D7" w:rsidRDefault="001861D7"/>
    <w:p w14:paraId="7F75E3F7" w14:textId="3FD8B407" w:rsidR="001861D7" w:rsidRPr="001861D7" w:rsidRDefault="001861D7">
      <w:pPr>
        <w:rPr>
          <w:lang w:val="en-GB"/>
        </w:rPr>
      </w:pPr>
      <w:r w:rsidRPr="001861D7">
        <w:rPr>
          <w:highlight w:val="yellow"/>
          <w:lang w:val="en-GB"/>
        </w:rPr>
        <w:t>Tutorials</w:t>
      </w:r>
      <w:r>
        <w:rPr>
          <w:lang w:val="en-GB"/>
        </w:rPr>
        <w:t xml:space="preserve"> </w:t>
      </w:r>
    </w:p>
    <w:p w14:paraId="169F9A08" w14:textId="4671E515" w:rsidR="003A05A0" w:rsidRPr="001861D7" w:rsidRDefault="001861D7">
      <w:pPr>
        <w:rPr>
          <w:lang w:val="en-GB"/>
        </w:rPr>
      </w:pPr>
      <w:r w:rsidRPr="001861D7">
        <w:rPr>
          <w:lang w:val="en-GB"/>
        </w:rPr>
        <w:t>(Bioinformatics Core Shared Training, 2020)</w:t>
      </w:r>
    </w:p>
    <w:p w14:paraId="58492B50" w14:textId="2E4762DF" w:rsidR="001861D7" w:rsidRPr="001861D7" w:rsidRDefault="001861D7">
      <w:pPr>
        <w:rPr>
          <w:lang w:val="en-GB"/>
        </w:rPr>
      </w:pPr>
      <w:r w:rsidRPr="001861D7">
        <w:rPr>
          <w:lang w:val="en-GB"/>
        </w:rPr>
        <w:t>(Bioinformatics Consulting Group, n.d.)</w:t>
      </w:r>
    </w:p>
    <w:p w14:paraId="0928FFB2" w14:textId="3BF72298" w:rsidR="006651FB" w:rsidRDefault="00855DDC">
      <w:r w:rsidRPr="00855DDC">
        <w:rPr>
          <w:rStyle w:val="Kop1Char"/>
        </w:rPr>
        <w:lastRenderedPageBreak/>
        <w:t>4.Conclusie</w:t>
      </w:r>
      <w:r w:rsidR="005C20DF" w:rsidRPr="005C20DF">
        <w:br/>
        <w:t>- Conclusie: +- 200 woorden, inclusief aanbevelingen en onderzoek in context</w:t>
      </w:r>
      <w:r w:rsidR="005C20DF" w:rsidRPr="005C20DF">
        <w:br/>
        <w:t>plaatsen.</w:t>
      </w:r>
    </w:p>
    <w:p w14:paraId="209CA7E9" w14:textId="23E2EA26" w:rsidR="00417935" w:rsidRDefault="00417935"/>
    <w:p w14:paraId="6320E72A" w14:textId="233B08FC" w:rsidR="003A05A0" w:rsidRDefault="00FC2E58" w:rsidP="00076574">
      <w:r w:rsidRPr="00FC2E58">
        <w:t xml:space="preserve">RA is een </w:t>
      </w:r>
      <w:r w:rsidR="009E06A2" w:rsidRPr="00FC2E58">
        <w:t>auto-immuunziekte</w:t>
      </w:r>
      <w:r>
        <w:t xml:space="preserve"> waarbij het immuunsysteem uit balans is. Dit was in de resultaten terug te zien. De </w:t>
      </w:r>
      <w:proofErr w:type="spellStart"/>
      <w:r>
        <w:t>DEseq</w:t>
      </w:r>
      <w:proofErr w:type="spellEnd"/>
      <w:r>
        <w:t xml:space="preserve"> analyse gaf up- en </w:t>
      </w:r>
      <w:proofErr w:type="spellStart"/>
      <w:r>
        <w:t>downgereguleerde</w:t>
      </w:r>
      <w:proofErr w:type="spellEnd"/>
      <w:r>
        <w:t xml:space="preserve"> genen in mensen met reuma waarbij de </w:t>
      </w:r>
      <w:r w:rsidRPr="009E06A2">
        <w:rPr>
          <w:b/>
          <w:bCs/>
        </w:rPr>
        <w:t>SRGN</w:t>
      </w:r>
      <w:r>
        <w:t xml:space="preserve"> </w:t>
      </w:r>
      <w:r w:rsidR="009E06A2" w:rsidRPr="00312FFB">
        <w:t xml:space="preserve">gen is betrokken bij </w:t>
      </w:r>
      <w:proofErr w:type="spellStart"/>
      <w:r w:rsidR="009E06A2" w:rsidRPr="00312FFB">
        <w:t>inflammentoire</w:t>
      </w:r>
      <w:proofErr w:type="spellEnd"/>
      <w:r w:rsidR="009E06A2" w:rsidRPr="00312FFB">
        <w:t xml:space="preserve"> processen, het gen reguleert </w:t>
      </w:r>
      <w:proofErr w:type="spellStart"/>
      <w:r w:rsidR="009E06A2" w:rsidRPr="00312FFB">
        <w:t>inflamation</w:t>
      </w:r>
      <w:proofErr w:type="spellEnd"/>
      <w:r w:rsidR="009E06A2" w:rsidRPr="00312FFB">
        <w:t xml:space="preserve"> cytokines TNF-</w:t>
      </w:r>
      <w:r w:rsidR="009E06A2" w:rsidRPr="00B32847">
        <w:t>α</w:t>
      </w:r>
      <w:r w:rsidR="009E06A2" w:rsidRPr="00312FFB">
        <w:t xml:space="preserve">, </w:t>
      </w:r>
      <w:proofErr w:type="spellStart"/>
      <w:r w:rsidR="009E06A2" w:rsidRPr="00312FFB">
        <w:t>and</w:t>
      </w:r>
      <w:proofErr w:type="spellEnd"/>
      <w:r w:rsidR="009E06A2" w:rsidRPr="00312FFB">
        <w:t xml:space="preserve"> </w:t>
      </w:r>
      <w:proofErr w:type="spellStart"/>
      <w:r w:rsidR="009E06A2" w:rsidRPr="00312FFB">
        <w:t>activating</w:t>
      </w:r>
      <w:proofErr w:type="spellEnd"/>
      <w:r w:rsidR="009E06A2" w:rsidRPr="00312FFB">
        <w:t xml:space="preserve"> </w:t>
      </w:r>
      <w:proofErr w:type="spellStart"/>
      <w:r w:rsidR="009E06A2" w:rsidRPr="00312FFB">
        <w:t>the</w:t>
      </w:r>
      <w:proofErr w:type="spellEnd"/>
      <w:r w:rsidR="009E06A2" w:rsidRPr="00312FFB">
        <w:t xml:space="preserve"> NF-</w:t>
      </w:r>
      <w:proofErr w:type="spellStart"/>
      <w:r w:rsidR="009E06A2" w:rsidRPr="00B32847">
        <w:t>κ</w:t>
      </w:r>
      <w:r w:rsidR="009E06A2" w:rsidRPr="00312FFB">
        <w:t>B</w:t>
      </w:r>
      <w:proofErr w:type="spellEnd"/>
      <w:r w:rsidR="009E06A2" w:rsidRPr="00312FFB">
        <w:t xml:space="preserve"> </w:t>
      </w:r>
      <w:proofErr w:type="spellStart"/>
      <w:r w:rsidR="009E06A2" w:rsidRPr="00312FFB">
        <w:t>signaling</w:t>
      </w:r>
      <w:proofErr w:type="spellEnd"/>
      <w:r w:rsidR="009E06A2" w:rsidRPr="00312FFB">
        <w:t xml:space="preserve"> </w:t>
      </w:r>
      <w:proofErr w:type="spellStart"/>
      <w:r w:rsidR="009E06A2" w:rsidRPr="00312FFB">
        <w:t>pathway</w:t>
      </w:r>
      <w:proofErr w:type="spellEnd"/>
      <w:r w:rsidR="009E06A2" w:rsidRPr="00312FFB">
        <w:t xml:space="preserve"> </w:t>
      </w:r>
      <w:r w:rsidR="009E06A2">
        <w:rPr>
          <w:lang w:val="en-GB"/>
        </w:rPr>
        <w:fldChar w:fldCharType="begin"/>
      </w:r>
      <w:r w:rsidR="009E06A2" w:rsidRPr="00312FFB">
        <w:instrText xml:space="preserve"> ADDIN ZOTERO_ITEM CSL_CITATION {"citationID":"xtcl69WP","properties":{"formattedCitation":"(Y. Chen et al., 2020)","plainCitation":"(Y. Chen et al., 2020)","noteIndex":0},"citationItems":[{"id":517,"uris":["http://zotero.org/users/local/beyTtIxb/items/XXYPGKY7"],"itemData":{"id":517,"type":"article-journal","abstract":"Ulcerative colitis (UC) and rheumatoid arthritis (RA) are immune-mediated in</w:instrText>
      </w:r>
      <w:r w:rsidR="009E06A2">
        <w:rPr>
          <w:lang w:val="en-GB"/>
        </w:rPr>
        <w:instrText>ﬂ</w:instrText>
      </w:r>
      <w:r w:rsidR="009E06A2" w:rsidRPr="00312FFB">
        <w:instrText>ammatory diseases (IMIDs) with similar symptoms and common genomics. However, the relationship between UC and RA has not been investigated thoroughly. Therefore, this study aimed to establish the differentially expressed genes (DEGs) and potential therapeutic targets in UC and RA. Three microarray datasets (GSE38713, GSE1919, and GSE12251) were selected from the Gene Expression Omnibus (GEO) database for analysis. We used R software to identify the DEGs and performed enrichment analyses. Search Tool for the Retrieval of Interacting Genes/Proteins (STRING) and Cytoscape software were used to construct the protein-protein interaction (PPI) network and identify the hub genes. A regulatory network based on the constructed PPI was generated using StarBase and PROMO databases. We identi</w:instrText>
      </w:r>
      <w:r w:rsidR="009E06A2">
        <w:rPr>
          <w:lang w:val="en-GB"/>
        </w:rPr>
        <w:instrText>ﬁ</w:instrText>
      </w:r>
      <w:r w:rsidR="009E06A2" w:rsidRPr="00312FFB">
        <w:instrText>ed a total of 1542 and 261 DEGs in UC and RA. There were 169 common DEGs identi</w:instrText>
      </w:r>
      <w:r w:rsidR="009E06A2">
        <w:rPr>
          <w:lang w:val="en-GB"/>
        </w:rPr>
        <w:instrText>ﬁ</w:instrText>
      </w:r>
      <w:r w:rsidR="009E06A2" w:rsidRPr="00312FFB">
        <w:instrText>ed in both UC and RA, including 63 upregulated genes (DEGs1) and nine downregulated genes (DEGs2). The Gene Ontology (GO) and Kyoto Encyclopedia of Genes and Genomes (KEGG) pathway analyses of DEGs1 and DEGs2 in the PPI network revealed that the genes enriched were involved in immunity. A total of 45 hub genes were selected based on high scores of correlation; three hub genes (SRGN, PLEK, and FCGR3B) were found to be upregulated in UC and RA, and downregulated in UC patients with response to in</w:instrText>
      </w:r>
      <w:r w:rsidR="009E06A2">
        <w:rPr>
          <w:lang w:val="en-GB"/>
        </w:rPr>
        <w:instrText>ﬂ</w:instrText>
      </w:r>
      <w:r w:rsidR="009E06A2" w:rsidRPr="00312FFB">
        <w:instrText>iximab treatment. The identi</w:instrText>
      </w:r>
      <w:r w:rsidR="009E06A2">
        <w:rPr>
          <w:lang w:val="en-GB"/>
        </w:rPr>
        <w:instrText>ﬁ</w:instrText>
      </w:r>
      <w:r w:rsidR="009E06A2" w:rsidRPr="00312FFB">
        <w:instrText xml:space="preserve">cation of novel DEGs and hub genes in the current study contributes to a novel perception for latent functional mechanisms and presents potential prognostic indicators and therapeutic targets in UC and RA.","container-title":"Frontiers in Genetics","DOI":"10.3389/fgene.2020.572194","ISSN":"1664-8021","journalAbbreviation":"Front. Genet.","language":"en","page":"572194","source":"DOI.org (Crossref)","title":"Identification of Common Differentially Expressed Genes and Potential Therapeutic Targets in Ulcerative Colitis and Rheumatoid Arthritis","volume":"11","author":[{"family":"Chen","given":"Yueying"},{"family":"Li","given":"Hanyang"},{"family":"Lai","given":"Lijie"},{"family":"Feng","given":"Qi"},{"family":"Shen","given":"Jun"}],"issued":{"date-parts":[["2020",11,11]]}}}],"schema":"https://github.com/citation-style-language/schema/raw/master/csl-citation.json"} </w:instrText>
      </w:r>
      <w:r w:rsidR="009E06A2">
        <w:rPr>
          <w:lang w:val="en-GB"/>
        </w:rPr>
        <w:fldChar w:fldCharType="separate"/>
      </w:r>
      <w:r w:rsidR="009E06A2" w:rsidRPr="00312FFB">
        <w:rPr>
          <w:rFonts w:ascii="Aptos" w:hAnsi="Aptos"/>
        </w:rPr>
        <w:t>(Y. Chen et al., 2020)</w:t>
      </w:r>
      <w:r w:rsidR="009E06A2">
        <w:rPr>
          <w:lang w:val="en-GB"/>
        </w:rPr>
        <w:fldChar w:fldCharType="end"/>
      </w:r>
      <w:r w:rsidR="009E06A2">
        <w:t xml:space="preserve">, </w:t>
      </w:r>
      <w:r>
        <w:t xml:space="preserve">en </w:t>
      </w:r>
      <w:r w:rsidRPr="001F5BF9">
        <w:rPr>
          <w:b/>
          <w:bCs/>
        </w:rPr>
        <w:t>BCL2A1</w:t>
      </w:r>
      <w:r>
        <w:rPr>
          <w:b/>
          <w:bCs/>
        </w:rPr>
        <w:t xml:space="preserve"> </w:t>
      </w:r>
      <w:r w:rsidR="009E06A2" w:rsidRPr="001F05E8">
        <w:t>anti-</w:t>
      </w:r>
      <w:proofErr w:type="spellStart"/>
      <w:r w:rsidR="009E06A2" w:rsidRPr="001F05E8">
        <w:t>apotptotisch</w:t>
      </w:r>
      <w:proofErr w:type="spellEnd"/>
      <w:r w:rsidR="009E06A2" w:rsidRPr="001F05E8">
        <w:t xml:space="preserve"> eiwit dat zorgt voor het stoppen van apoptose waardoor </w:t>
      </w:r>
      <w:proofErr w:type="spellStart"/>
      <w:r w:rsidR="009E06A2" w:rsidRPr="001F05E8">
        <w:t>immuuncellen</w:t>
      </w:r>
      <w:proofErr w:type="spellEnd"/>
      <w:r w:rsidR="009E06A2" w:rsidRPr="001F05E8">
        <w:t xml:space="preserve"> die </w:t>
      </w:r>
      <w:proofErr w:type="spellStart"/>
      <w:r w:rsidR="009E06A2" w:rsidRPr="001F05E8">
        <w:t>autoimmuuncellen</w:t>
      </w:r>
      <w:proofErr w:type="spellEnd"/>
      <w:r w:rsidR="009E06A2" w:rsidRPr="001F05E8">
        <w:t xml:space="preserve"> zijn langer leven</w:t>
      </w:r>
      <w:r w:rsidR="009E06A2">
        <w:t xml:space="preserve"> </w:t>
      </w:r>
      <w:r w:rsidR="009E06A2">
        <w:fldChar w:fldCharType="begin"/>
      </w:r>
      <w:r w:rsidR="009E06A2">
        <w:instrText xml:space="preserve"> ADDIN ZOTERO_ITEM CSL_CITATION {"citationID":"kpEcxkiF","properties":{"formattedCitation":"(Gao et al., 2023)","plainCitation":"(Gao et al., 2023)","noteIndex":0},"citationItems":[{"id":518,"uris":["http://zotero.org/users/local/beyTtIxb/items/6XSSDEJL"],"itemData":{"id":518,"type":"article-journal","abstract":"B-cell lymphoma 2-related protein A1 (BCL2A1) is a member of the BCL-2 family. Previous studies have shown that BCL2A1 is closely related to the tumorigenesis and resistance to chemotherapy of multiple solid tumors, such as breast cancer. However, the expression pattern and potential biological function of BCL2A1 in glioma remain unknown. For the first time, we found that the expression of BCL2A1 was higher in human glioma tissues than in normal brain tissues (NBTs) in both public datasets and an in-house cohort. High BCL2A1 expression was associated with advanced WHO grade, IDH 1/2 wild type and the mesenchymal (ME) subtype, and its overexpression in glioma predicted resistance to temozolomide (TMZ) chemotherapy and unfavorable prognosis. In addition, Gene set enrichment analysis (GSEA), Gene Ontology (GO) and Kyoto Encyclopedia of Genes and Genomes (KEGG) analysis indicated that BCL2A1 was significantly correlated with the immune response and immune-related pathways, and BCL2A1 expression was positively correlated with microenvironmental parameters (immune, stromal, and ESTIMATE scores) and macrophage infiltration. Interestingly, bioinformatic prediction and immunohistochemical/immunofluorescence staining analysis revealed that BCL2A1 expression was obviously associated with the tumor-associated macrophages (TAMs) markers CD68 and CCL2. Notably, knockdown of BCL2A1 significantly inhibited cell proliferation of U87 and U251 in vitro, induced smaller tumor size and prolonged survival time of mice in vivo., Co-culture experiments of macrophages and GBM cells showed that BCL2A1 knockdown inhibited macrophage migration. Meanwhile, knockdown of BCL2A1 was associated with low expression of CD68 and CCL2 in intracranial xenograft model. This may suggest that BCL2A1 promotes the progression of glioma and influences the prognosis of patients by participating in TAMs infiltration. In conclusion, these findings suggest that BCL2A1 could serve as a promising prognostic indicator and immunotherapy target in gliomas.","container-title":"Aging (Albany NY)","DOI":"10.18632/aging.205149","ISSN":"1945-4589","issue":"20","journalAbbreviation":"Aging (Albany NY)","note":"PMID: 37889551\nPMCID: PMC10637801","page":"11611-11638","source":"PubMed Central","title":"BCL2A1 is associated with tumor-associated macrophages and unfavorable prognosis in human gliomas","volume":"15","author":[{"family":"Gao","given":"Lun"},{"family":"Ye","given":"Zhang"},{"family":"Peng","given":"Shu"},{"family":"Lei","given":"Pan"},{"family":"Song","given":"Ping"},{"family":"Li","given":"Zhiyang"},{"family":"Zhou","given":"Long"},{"family":"Hua","given":"Qiuwei"},{"family":"Cheng","given":"Li"},{"family":"Wei","given":"Hangyu"},{"family":"Liu","given":"Junhui"},{"family":"Cai","given":"Qiang"}],"issued":{"date-parts":[["2023",10,25]]}}}],"schema":"https://github.com/citation-style-language/schema/raw/master/csl-citation.json"} </w:instrText>
      </w:r>
      <w:r w:rsidR="009E06A2">
        <w:fldChar w:fldCharType="separate"/>
      </w:r>
      <w:r w:rsidR="009E06A2" w:rsidRPr="001F05E8">
        <w:rPr>
          <w:rFonts w:ascii="Aptos" w:hAnsi="Aptos"/>
        </w:rPr>
        <w:t>(</w:t>
      </w:r>
      <w:proofErr w:type="spellStart"/>
      <w:r w:rsidR="009E06A2" w:rsidRPr="001F05E8">
        <w:rPr>
          <w:rFonts w:ascii="Aptos" w:hAnsi="Aptos"/>
        </w:rPr>
        <w:t>Gao</w:t>
      </w:r>
      <w:proofErr w:type="spellEnd"/>
      <w:r w:rsidR="009E06A2" w:rsidRPr="001F05E8">
        <w:rPr>
          <w:rFonts w:ascii="Aptos" w:hAnsi="Aptos"/>
        </w:rPr>
        <w:t xml:space="preserve"> et al., 2023)</w:t>
      </w:r>
      <w:r w:rsidR="009E06A2">
        <w:fldChar w:fldCharType="end"/>
      </w:r>
      <w:r w:rsidR="009E06A2">
        <w:t xml:space="preserve">, </w:t>
      </w:r>
      <w:r w:rsidRPr="00FC2E58">
        <w:t xml:space="preserve">het grootste verschil hadden. </w:t>
      </w:r>
      <w:r w:rsidR="009E06A2">
        <w:t>Dit betekent dat genen met pro-</w:t>
      </w:r>
      <w:proofErr w:type="spellStart"/>
      <w:r w:rsidR="009E06A2">
        <w:t>inflammentoire</w:t>
      </w:r>
      <w:proofErr w:type="spellEnd"/>
      <w:r w:rsidR="009E06A2">
        <w:t xml:space="preserve"> eigenschappen zijn </w:t>
      </w:r>
      <w:proofErr w:type="spellStart"/>
      <w:r w:rsidR="009E06A2">
        <w:t>upgereguleerd</w:t>
      </w:r>
      <w:proofErr w:type="spellEnd"/>
      <w:r w:rsidR="009E06A2">
        <w:t>.</w:t>
      </w:r>
    </w:p>
    <w:p w14:paraId="5F4D560E" w14:textId="45DE32AD" w:rsidR="009E06A2" w:rsidRPr="009E06A2" w:rsidRDefault="009E06A2" w:rsidP="00181EFD">
      <w:proofErr w:type="spellStart"/>
      <w:r>
        <w:t>Downgereguleerde</w:t>
      </w:r>
      <w:proofErr w:type="spellEnd"/>
      <w:r>
        <w:t xml:space="preserve"> genen waren </w:t>
      </w:r>
      <w:r w:rsidR="00082FA6" w:rsidRPr="001F5BF9">
        <w:rPr>
          <w:b/>
          <w:bCs/>
          <w:i/>
          <w:iCs/>
        </w:rPr>
        <w:t>MT-ND6</w:t>
      </w:r>
      <w:r w:rsidR="00082FA6">
        <w:rPr>
          <w:b/>
          <w:bCs/>
          <w:i/>
          <w:iCs/>
        </w:rPr>
        <w:t xml:space="preserve">, </w:t>
      </w:r>
      <w:r w:rsidR="00082FA6" w:rsidRPr="00181EFD">
        <w:rPr>
          <w:i/>
          <w:iCs/>
        </w:rPr>
        <w:t xml:space="preserve">betrokken bij het </w:t>
      </w:r>
      <w:proofErr w:type="spellStart"/>
      <w:r w:rsidR="00082FA6" w:rsidRPr="00181EFD">
        <w:rPr>
          <w:i/>
          <w:iCs/>
        </w:rPr>
        <w:t>electronen</w:t>
      </w:r>
      <w:proofErr w:type="spellEnd"/>
      <w:r w:rsidR="00082FA6" w:rsidRPr="00181EFD">
        <w:rPr>
          <w:i/>
          <w:iCs/>
        </w:rPr>
        <w:t xml:space="preserve"> transport in de </w:t>
      </w:r>
      <w:proofErr w:type="spellStart"/>
      <w:r w:rsidR="00082FA6" w:rsidRPr="00181EFD">
        <w:rPr>
          <w:i/>
          <w:iCs/>
        </w:rPr>
        <w:t>mitochondrien</w:t>
      </w:r>
      <w:proofErr w:type="spellEnd"/>
      <w:r w:rsidR="00082FA6" w:rsidRPr="00181EFD">
        <w:rPr>
          <w:i/>
          <w:iCs/>
        </w:rPr>
        <w:t xml:space="preserve"> door </w:t>
      </w:r>
      <w:r w:rsidR="00082FA6" w:rsidRPr="00181EFD">
        <w:t>bevorderen van</w:t>
      </w:r>
      <w:r w:rsidR="00082FA6" w:rsidRPr="00181EFD">
        <w:t xml:space="preserve"> </w:t>
      </w:r>
      <w:r w:rsidR="00082FA6" w:rsidRPr="00181EFD">
        <w:t>NADH-dehydrogenase</w:t>
      </w:r>
      <w:r w:rsidR="00082FA6" w:rsidRPr="00181EFD">
        <w:rPr>
          <w:i/>
          <w:iCs/>
        </w:rPr>
        <w:t xml:space="preserve"> was </w:t>
      </w:r>
      <w:proofErr w:type="spellStart"/>
      <w:r w:rsidR="00082FA6" w:rsidRPr="00181EFD">
        <w:rPr>
          <w:i/>
          <w:iCs/>
        </w:rPr>
        <w:t>downregulated</w:t>
      </w:r>
      <w:proofErr w:type="spellEnd"/>
      <w:r w:rsidR="00082FA6">
        <w:rPr>
          <w:b/>
          <w:bCs/>
          <w:i/>
          <w:iCs/>
        </w:rPr>
        <w:t xml:space="preserve">. </w:t>
      </w:r>
      <w:r w:rsidR="00082FA6" w:rsidRPr="001F05E8">
        <w:t xml:space="preserve">(National Center </w:t>
      </w:r>
      <w:proofErr w:type="spellStart"/>
      <w:r w:rsidR="00082FA6" w:rsidRPr="001F05E8">
        <w:t>for</w:t>
      </w:r>
      <w:proofErr w:type="spellEnd"/>
      <w:r w:rsidR="00082FA6" w:rsidRPr="001F05E8">
        <w:t xml:space="preserve"> </w:t>
      </w:r>
      <w:proofErr w:type="spellStart"/>
      <w:r w:rsidR="00082FA6" w:rsidRPr="001F05E8">
        <w:t>Biotechnology</w:t>
      </w:r>
      <w:proofErr w:type="spellEnd"/>
      <w:r w:rsidR="00082FA6" w:rsidRPr="001F05E8">
        <w:t xml:space="preserve"> Information, 2024)</w:t>
      </w:r>
      <w:r w:rsidR="00082FA6" w:rsidRPr="001F05E8">
        <w:t xml:space="preserve">. </w:t>
      </w:r>
      <w:r w:rsidR="00082FA6" w:rsidRPr="00082FA6">
        <w:t xml:space="preserve">Ook </w:t>
      </w:r>
      <w:r w:rsidR="00082FA6" w:rsidRPr="00082FA6">
        <w:rPr>
          <w:b/>
          <w:bCs/>
        </w:rPr>
        <w:t>SLC9A3R2</w:t>
      </w:r>
      <w:r w:rsidR="00082FA6" w:rsidRPr="00082FA6">
        <w:rPr>
          <w:b/>
          <w:bCs/>
        </w:rPr>
        <w:t xml:space="preserve"> </w:t>
      </w:r>
      <w:r w:rsidR="00082FA6" w:rsidRPr="00082FA6">
        <w:t xml:space="preserve">was </w:t>
      </w:r>
      <w:proofErr w:type="spellStart"/>
      <w:r w:rsidR="00082FA6" w:rsidRPr="00082FA6">
        <w:t>downregulated</w:t>
      </w:r>
      <w:proofErr w:type="spellEnd"/>
      <w:r w:rsidR="00082FA6" w:rsidRPr="00082FA6">
        <w:t xml:space="preserve"> wat een gen is </w:t>
      </w:r>
      <w:r w:rsidR="00181EFD">
        <w:t xml:space="preserve">dat een negatieve regulator is van endothele proliferatie wat belangrijk is voor het in balans houden van de </w:t>
      </w:r>
      <w:proofErr w:type="spellStart"/>
      <w:r w:rsidR="00181EFD">
        <w:t>angionase</w:t>
      </w:r>
      <w:proofErr w:type="spellEnd"/>
      <w:r w:rsidR="00181EFD">
        <w:t xml:space="preserve"> (bloedvaten) </w:t>
      </w:r>
      <w:r w:rsidR="00181EFD">
        <w:fldChar w:fldCharType="begin"/>
      </w:r>
      <w:r w:rsidR="00181EFD">
        <w:instrText xml:space="preserve"> ADDIN ZOTERO_ITEM CSL_CITATION {"citationID":"8cfRNL6J","properties":{"formattedCitation":"(Arntz et al., 2024)","plainCitation":"(Arntz et al., 2024)","noteIndex":0},"citationItems":[{"id":515,"uris":["http://zotero.org/users/local/beyTtIxb/items/44J8JCG7"],"itemData":{"id":515,"type":"article-journal","abstract":"Background: Rheumatoid arthritis (RA) is an autoimmune disease characterized by chronic synovial inflammation and cartilage/bone damage. Intercellular messengers such as IL-1 and TNF play a crucial role in the pathophysiology of RA but have limited diagnostic and prognostic values. Therefore, we assessed whether the protein content of the recently discovered extracellular vesicles (EVs), which have gained attention in the pathogenesis of RA, correlates with disease activity parameters in RA patients.\nMethods: We identified and quantified proteins in plasma-derived EVs (pEVs), isolated by size exclusion chromatography from 17 RA patients by mass spectrophotometry (MS). Quantified protein levels were correlated with laboratory and clinical parameters and the patient’s own global assessment of their disease activity (PGA-VAS). In a second MS run, the pEV proteins of nine other RA patients were quantified and compared to those from nine healthy controls (HC).\nResults: No differences were observed in the concentration, size, and protein content of pEVs from RA patients. Proteomics revealed &gt;95% overlapping proteins in RA-pEVs, compared to HC-pEVs (data are available via ProteomeXchange with identifier PXD046058). Remarkably, in both runs, the level </w:instrText>
      </w:r>
      <w:r w:rsidR="00181EFD" w:rsidRPr="00181EFD">
        <w:rPr>
          <w:lang w:val="en-GB"/>
        </w:rPr>
        <w:instrText xml:space="preserve">of far more RA-pEV proteins correlated positively to PGA-VAS than to either clinical or laboratory parameters. Interestingly, all observed PGAVAS positively correlated RA-pEV proteins were associated with the actincytoskeleton linker proteins, ezrin, and moesin.\nConclusion: Our observation suggests that PGA-VAS (loss of vitality) may have a different underlying pathological mechanism in RA, possibly related to enhanced muscle actin-cytoskeleton activity. Furthermore, our study contributes to the growing awareness and evidence that pEVs contain valuable biomarkers for diseases, with added value for RA patients.","container-title":"Frontiers in Medicine","DOI":"10.3389/fmed.2023.1247778","ISSN":"2296-858X","journalAbbreviation":"Front. Med.","language":"en","page":"1247778","source":"DOI.org (Crossref)","title":"Profiling of plasma extracellular vesicles identifies proteins that strongly associate with patient’s global assessment of disease activity in rheumatoid arthritis","volume":"10","author":[{"family":"Arntz","given":"Onno J."},{"family":"Thurlings","given":"Rogier M."},{"family":"Blaney Davidson","given":"Esmeralda N."},{"family":"Jansen","given":"Pascal W. T. C."},{"family":"Vermeulen","given":"Michiel"},{"family":"Koenders","given":"Marije I."},{"family":"Van Der Kraan","given":"Peter M."},{"family":"Van De Loo","given":"Fons A. J."}],"issued":{"date-parts":[["2024",1,11]]}}}],"schema":"https://github.com/citation-style-language/schema/raw/master/csl-citation.json"} </w:instrText>
      </w:r>
      <w:r w:rsidR="00181EFD">
        <w:fldChar w:fldCharType="separate"/>
      </w:r>
      <w:r w:rsidR="00181EFD" w:rsidRPr="00181EFD">
        <w:rPr>
          <w:rFonts w:ascii="Aptos" w:hAnsi="Aptos"/>
          <w:lang w:val="en-GB"/>
        </w:rPr>
        <w:t>(Arntz et al., 2024)</w:t>
      </w:r>
      <w:r w:rsidR="00181EFD">
        <w:fldChar w:fldCharType="end"/>
      </w:r>
      <w:r w:rsidR="00181EFD" w:rsidRPr="00181EFD">
        <w:rPr>
          <w:lang w:val="en-GB"/>
        </w:rPr>
        <w:t xml:space="preserve">. </w:t>
      </w:r>
      <w:r w:rsidR="00181EFD" w:rsidRPr="00181EFD">
        <w:rPr>
          <w:b/>
          <w:bCs/>
        </w:rPr>
        <w:t>ZNF598</w:t>
      </w:r>
      <w:r w:rsidR="00181EFD" w:rsidRPr="00181EFD">
        <w:rPr>
          <w:b/>
          <w:bCs/>
        </w:rPr>
        <w:t xml:space="preserve"> </w:t>
      </w:r>
      <w:r w:rsidR="00181EFD" w:rsidRPr="00181EFD">
        <w:t xml:space="preserve">is een </w:t>
      </w:r>
      <w:proofErr w:type="spellStart"/>
      <w:r w:rsidR="00181EFD" w:rsidRPr="00181EFD">
        <w:t>ribosomal</w:t>
      </w:r>
      <w:proofErr w:type="spellEnd"/>
      <w:r w:rsidR="00181EFD" w:rsidRPr="00181EFD">
        <w:t xml:space="preserve"> kwaliteitscontrole eiwit dat</w:t>
      </w:r>
      <w:r w:rsidR="00181EFD" w:rsidRPr="00181EFD">
        <w:rPr>
          <w:b/>
          <w:bCs/>
        </w:rPr>
        <w:t xml:space="preserve"> </w:t>
      </w:r>
      <w:r w:rsidR="00181EFD" w:rsidRPr="00181EFD">
        <w:t xml:space="preserve">zorgt voor het verwijderen van fouten </w:t>
      </w:r>
      <w:r w:rsidR="00181EFD">
        <w:t>uit ribosomen</w:t>
      </w:r>
      <w:r>
        <w:t xml:space="preserve"> </w:t>
      </w:r>
      <w:r>
        <w:fldChar w:fldCharType="begin"/>
      </w:r>
      <w:r>
        <w:instrText xml:space="preserve"> ADDIN ZOTERO_ITEM CSL_CITATION {"citationID":"q3dLK769","properties":{"formattedCitation":"(Oikawa et al., 2023)","plainCitation":"(Oikawa et al., 2023)","noteIndex":0},"citationItems":[{"id":529,"uris":["http://zotero.org/users/local/beyTtIxb/items/5H9MRHUP"],"itemData":{"id":529,"type":"article-journal","abstract":"Protein ubiquitination, which is catalyzed by ubiquitin-activating enzymes, ubiquitinconjugating enzymes, and ubiquitin ligases, is a crucial post-translational modiﬁcation to regulate numerous cellular functions in a spatio–temporal-speciﬁc manner. The human genome encodes ~100 deubiquitinating enzymes (DUBs), which antagonistically regulate the ubiquitin system. OTUD1, an ovarian tumor protease (OTU) family DUB, has an N-terminal-disordered alanine-, proline-, glycine-rich region (APGR), a catalytic OTU domain, and a ubiquitin-interacting motif (UIM). OTUD1 preferentially hydrolyzes lysine-63-linked ubiquitin chains in vitro; however, recent studies indicate that OTUD1 cleaves various ubiquitin linkages, and is involved in the regulation of multiple cellular functions. Thus, OTUD1 predominantly functions as a tumor suppressor by targeting p53, SMAD7, PTEN, AKT, IREB2, YAP, MCL1, and AIF. Furthermore, OTUD1 regulates antiviral signaling, innate and acquired immune responses, and cell death pathways. Similar to Nrf2, OTUD1 contains a KEAP1-binding ETGE motif in its APGR and regulates the reactive oxygen species (ROS)-mediated oxidative stress response and cell death. Importantly, in addition to its association with various cancers, including multiple myeloma, OTUD1 is involved in acute graft-versus-host disease and autoimmune diseases such as systemic lupus erythematosus, rheumatoid arthritis, and ulcerative colitis. Thus, OTUD1 is an important DUB as a therapeutic target for a variety of diseases.","container-title":"Antioxidants","DOI":"10.3390/antiox12020350","ISSN":"2076-3921","issue":"2","journalAbbreviation":"Antioxidants","language":"en","license":"https://creativecommons.org/licenses/by/4.0/","page":"350","source":"DOI.org (Crossref)","title":"Pleiotropic Roles of a KEAP1-Associated Deubiquitinase, OTUD1","volume":"12","author":[{"family":"Oikawa","given":"Daisuke"},{"family":"Shimizu","given":"Kouhei"},{"family":"Tokunaga","given":"Fuminori"}],"issued":{"date-parts":[["2023",2,1]]}}}],"schema":"https://github.com/citation-style-language/schema/raw/master/csl-citation.json"} </w:instrText>
      </w:r>
      <w:r>
        <w:fldChar w:fldCharType="separate"/>
      </w:r>
      <w:r w:rsidRPr="009E06A2">
        <w:rPr>
          <w:rFonts w:ascii="Aptos" w:hAnsi="Aptos"/>
        </w:rPr>
        <w:t>(</w:t>
      </w:r>
      <w:proofErr w:type="spellStart"/>
      <w:r w:rsidRPr="009E06A2">
        <w:rPr>
          <w:rFonts w:ascii="Aptos" w:hAnsi="Aptos"/>
        </w:rPr>
        <w:t>Oikawa</w:t>
      </w:r>
      <w:proofErr w:type="spellEnd"/>
      <w:r w:rsidRPr="009E06A2">
        <w:rPr>
          <w:rFonts w:ascii="Aptos" w:hAnsi="Aptos"/>
        </w:rPr>
        <w:t xml:space="preserve"> et al., 2023)</w:t>
      </w:r>
      <w:r>
        <w:fldChar w:fldCharType="end"/>
      </w:r>
      <w:r>
        <w:t xml:space="preserve">. Genen met een functie om balans te behouden zijn </w:t>
      </w:r>
      <w:proofErr w:type="spellStart"/>
      <w:r>
        <w:t>downgereguleerd</w:t>
      </w:r>
      <w:proofErr w:type="spellEnd"/>
      <w:r>
        <w:t>.</w:t>
      </w:r>
    </w:p>
    <w:p w14:paraId="11E9C0DF" w14:textId="058ED7CD" w:rsidR="00261996" w:rsidRPr="009E06A2" w:rsidRDefault="001218EF">
      <w:pPr>
        <w:rPr>
          <w:b/>
          <w:bCs/>
        </w:rPr>
      </w:pPr>
      <w:r w:rsidRPr="009E06A2">
        <w:rPr>
          <w:b/>
          <w:bCs/>
          <w:highlight w:val="yellow"/>
        </w:rPr>
        <w:t xml:space="preserve">GO-analyse &amp; KEGG </w:t>
      </w:r>
      <w:proofErr w:type="spellStart"/>
      <w:r w:rsidRPr="009E06A2">
        <w:rPr>
          <w:b/>
          <w:bCs/>
          <w:highlight w:val="yellow"/>
        </w:rPr>
        <w:t>pathway</w:t>
      </w:r>
      <w:proofErr w:type="spellEnd"/>
    </w:p>
    <w:p w14:paraId="2F1B9DA2" w14:textId="77777777" w:rsidR="006D7181" w:rsidRDefault="00240B48" w:rsidP="001870DD">
      <w:r w:rsidRPr="00240B48">
        <w:t>In de synovi</w:t>
      </w:r>
      <w:r>
        <w:t>ale weefsel zijn dendritische cellen (</w:t>
      </w:r>
      <w:proofErr w:type="spellStart"/>
      <w:r>
        <w:t>APCs</w:t>
      </w:r>
      <w:proofErr w:type="spellEnd"/>
      <w:r>
        <w:t xml:space="preserve">) met MHC klasse 2 verhoogd en hebben verhoogde receptoren door blootstelling aan ontstekingsfactoren in de omgeving waardoor ze een grotere kans hebben lichaamseigen antigenen te presenteren. Dit gebeurt want lichaamseigen antigenen worden hierdoor gepresenteerd aan </w:t>
      </w:r>
      <w:proofErr w:type="spellStart"/>
      <w:r>
        <w:t>self</w:t>
      </w:r>
      <w:proofErr w:type="spellEnd"/>
      <w:r>
        <w:t xml:space="preserve"> </w:t>
      </w:r>
      <w:proofErr w:type="spellStart"/>
      <w:r>
        <w:t>reactive</w:t>
      </w:r>
      <w:proofErr w:type="spellEnd"/>
      <w:r>
        <w:t xml:space="preserve"> th1 cellen. </w:t>
      </w:r>
      <w:r>
        <w:rPr>
          <w:lang w:val="en-GB"/>
        </w:rPr>
        <w:fldChar w:fldCharType="begin"/>
      </w:r>
      <w:r w:rsidRPr="00240B48">
        <w:instrText xml:space="preserve"> ADDIN ZOTERO_ITEM CSL_CITATION {"citationID":"6qYnejoL","properties":{"formattedCitation":"(Wehr et al., 2019)","plainCitation":"(Wehr et al., 2019)","noteIndex":0},"citationItems":[{"id":503,"uris":["http://zotero.org/users/local/beyTtIxb/items/IFFDLWNK"],"itemData":{"id":503,"type":"article-journal","abstract":"Dendritic cells (DCs) are the key professional antigen-presenting cells which bridge innate and adaptive immune responses, inducing the priming and differentiation of naive to effector CD4+ T cells, the cross-priming of CD8+ T cells and the promotion of B cell antibody responses. DCs also play a critical role in the maintenance of immune homeostasis and tolerance. DC–T cell interactions underpin the generation of an autoimmune response in rheumatoid arthritis (RA). Here we describe the function of DCs and review evidence for DC and T cell involvement in RA pathogenesis, in particular through the presentation of self-peptide by DCs that triggers differentiation and activation of autoreactive T cells. Finally, we discuss the emerging field of targeting the DC–T cell interaction for antigen-specific immunotherapy of RA.","container-title":"Clinical and Experimental Immunology","DOI":"10.1111/cei.13256","ISSN":"1365-2249, 0009-9104","issue":"1","language":"en","license":"https://academic.oup.com/journals/pages/open_access/funder_policies/chorus/standard_publication_model","page":"12-27","source":"DOI.org (Crossref)","title":"Dendritic cells, T cells and their interaction in rheumatoid arthritis","volume":"196","author":[{"family":"Wehr","given":"P"},{"family":"Purvis","given":"H"},{"family":"Law","given":"S-C"},{"family":"Thomas","given":"R"}],"issued":{"date-parts":[["2019",3,18]]}}}],"schema":"https://github.com/citation-style-language/schema/raw/master/csl-citation.json"} </w:instrText>
      </w:r>
      <w:r>
        <w:rPr>
          <w:lang w:val="en-GB"/>
        </w:rPr>
        <w:fldChar w:fldCharType="separate"/>
      </w:r>
      <w:r w:rsidRPr="00240B48">
        <w:rPr>
          <w:rFonts w:ascii="Aptos" w:hAnsi="Aptos"/>
        </w:rPr>
        <w:t>(</w:t>
      </w:r>
      <w:proofErr w:type="spellStart"/>
      <w:r w:rsidRPr="00240B48">
        <w:rPr>
          <w:rFonts w:ascii="Aptos" w:hAnsi="Aptos"/>
        </w:rPr>
        <w:t>Wehr</w:t>
      </w:r>
      <w:proofErr w:type="spellEnd"/>
      <w:r w:rsidRPr="00240B48">
        <w:rPr>
          <w:rFonts w:ascii="Aptos" w:hAnsi="Aptos"/>
        </w:rPr>
        <w:t xml:space="preserve"> et al., 2019)</w:t>
      </w:r>
      <w:r>
        <w:rPr>
          <w:lang w:val="en-GB"/>
        </w:rPr>
        <w:fldChar w:fldCharType="end"/>
      </w:r>
      <w:r w:rsidR="00261996" w:rsidRPr="00261996">
        <w:t>. Deze zijn vervolgens ook overgereguleerd en p</w:t>
      </w:r>
      <w:r w:rsidR="00261996">
        <w:t xml:space="preserve">roduceren </w:t>
      </w:r>
      <w:proofErr w:type="spellStart"/>
      <w:r w:rsidR="00261996">
        <w:t>upgereguleerde</w:t>
      </w:r>
      <w:proofErr w:type="spellEnd"/>
      <w:r w:rsidR="00261996">
        <w:t xml:space="preserve"> cytokines zoals TNF gamma, een cytokine die chronische ontsteking en weefselvernietiging induceert. </w:t>
      </w:r>
      <w:r w:rsidR="00261996" w:rsidRPr="0054276C">
        <w:t xml:space="preserve">Th1 cellen </w:t>
      </w:r>
      <w:proofErr w:type="spellStart"/>
      <w:r w:rsidR="00261996" w:rsidRPr="0054276C">
        <w:t>zactiveren</w:t>
      </w:r>
      <w:proofErr w:type="spellEnd"/>
      <w:r w:rsidR="00261996" w:rsidRPr="0054276C">
        <w:t xml:space="preserve"> daarnaast ook </w:t>
      </w:r>
      <w:proofErr w:type="spellStart"/>
      <w:r w:rsidR="00261996" w:rsidRPr="0054276C">
        <w:t>synovial</w:t>
      </w:r>
      <w:proofErr w:type="spellEnd"/>
      <w:r w:rsidR="00261996" w:rsidRPr="0054276C">
        <w:t xml:space="preserve"> fibroblasten die </w:t>
      </w:r>
      <w:proofErr w:type="spellStart"/>
      <w:r w:rsidR="0054276C" w:rsidRPr="0054276C">
        <w:t>proinflammatory</w:t>
      </w:r>
      <w:proofErr w:type="spellEnd"/>
      <w:r w:rsidR="0054276C" w:rsidRPr="0054276C">
        <w:t xml:space="preserve"> cytokines (</w:t>
      </w:r>
      <w:proofErr w:type="spellStart"/>
      <w:r w:rsidR="0054276C" w:rsidRPr="0054276C">
        <w:t>mainly</w:t>
      </w:r>
      <w:proofErr w:type="spellEnd"/>
      <w:r w:rsidR="0054276C" w:rsidRPr="0054276C">
        <w:t xml:space="preserve"> </w:t>
      </w:r>
      <w:proofErr w:type="spellStart"/>
      <w:r w:rsidR="0054276C" w:rsidRPr="0054276C">
        <w:t>interleukin</w:t>
      </w:r>
      <w:proofErr w:type="spellEnd"/>
      <w:r w:rsidR="0054276C" w:rsidRPr="0054276C">
        <w:t xml:space="preserve"> (IL)1</w:t>
      </w:r>
      <w:r w:rsidR="0054276C" w:rsidRPr="00261996">
        <w:t>β</w:t>
      </w:r>
      <w:r w:rsidR="0054276C" w:rsidRPr="0054276C">
        <w:t xml:space="preserve">, IL-6, </w:t>
      </w:r>
      <w:proofErr w:type="spellStart"/>
      <w:r w:rsidR="0054276C" w:rsidRPr="0054276C">
        <w:t>and</w:t>
      </w:r>
      <w:proofErr w:type="spellEnd"/>
      <w:r w:rsidR="0054276C" w:rsidRPr="0054276C">
        <w:t xml:space="preserve"> tumor </w:t>
      </w:r>
      <w:proofErr w:type="spellStart"/>
      <w:r w:rsidR="0054276C" w:rsidRPr="0054276C">
        <w:t>necrosis</w:t>
      </w:r>
      <w:proofErr w:type="spellEnd"/>
      <w:r w:rsidR="0054276C" w:rsidRPr="0054276C">
        <w:t xml:space="preserve"> factor </w:t>
      </w:r>
      <w:proofErr w:type="spellStart"/>
      <w:r w:rsidR="0054276C" w:rsidRPr="0054276C">
        <w:t>alpha</w:t>
      </w:r>
      <w:proofErr w:type="spellEnd"/>
      <w:r w:rsidR="0054276C" w:rsidRPr="0054276C">
        <w:t xml:space="preserve"> (TNFA)) </w:t>
      </w:r>
      <w:r w:rsidR="0054276C" w:rsidRPr="0054276C">
        <w:t>pr</w:t>
      </w:r>
      <w:r w:rsidR="0054276C">
        <w:t>oduceren die zorgen voor ontstekingen</w:t>
      </w:r>
      <w:r w:rsidR="006D7181">
        <w:t xml:space="preserve"> in </w:t>
      </w:r>
      <w:proofErr w:type="spellStart"/>
      <w:r w:rsidR="006D7181">
        <w:t>inflamation</w:t>
      </w:r>
      <w:proofErr w:type="spellEnd"/>
      <w:r w:rsidR="006D7181">
        <w:t xml:space="preserve"> van de </w:t>
      </w:r>
      <w:proofErr w:type="spellStart"/>
      <w:r w:rsidR="006D7181">
        <w:t>synoveale</w:t>
      </w:r>
      <w:proofErr w:type="spellEnd"/>
      <w:r w:rsidR="006D7181">
        <w:t xml:space="preserve"> </w:t>
      </w:r>
      <w:proofErr w:type="spellStart"/>
      <w:r w:rsidR="006D7181">
        <w:t>pannus</w:t>
      </w:r>
      <w:proofErr w:type="spellEnd"/>
      <w:r w:rsidR="0054276C">
        <w:t xml:space="preserve">. </w:t>
      </w:r>
    </w:p>
    <w:p w14:paraId="59CD6D04" w14:textId="30405578" w:rsidR="001870DD" w:rsidRPr="001870DD" w:rsidRDefault="0054276C" w:rsidP="001870DD">
      <w:r>
        <w:t xml:space="preserve">Ook activeren de Th1 cellen </w:t>
      </w:r>
      <w:r w:rsidRPr="0054276C">
        <w:t xml:space="preserve">B </w:t>
      </w:r>
      <w:proofErr w:type="spellStart"/>
      <w:r w:rsidRPr="0054276C">
        <w:t>lymphocytes</w:t>
      </w:r>
      <w:proofErr w:type="spellEnd"/>
      <w:r>
        <w:t xml:space="preserve">. </w:t>
      </w:r>
      <w:r>
        <w:rPr>
          <w:lang w:val="en-GB"/>
        </w:rPr>
        <w:fldChar w:fldCharType="begin"/>
      </w:r>
      <w:r w:rsidRPr="00261996">
        <w:instrText xml:space="preserve"> ADDIN ZOTERO_ITEM CSL_CITATION {"citationID":"5CVYhtuk","properties":{"formattedCitation":"(Rahimi-Khorashad et al., 2023)","plainCitation":"(Rahimi-Khorashad et al., 2023)","noteIndex":0},"citationItems":[{"id":505,"uris":["http://zotero.org/users/local/beyTtIxb/items/UE7FMLAJ"],"itemData":{"id":505,"type":"article-journal","abstract":"The therapeutic and immunomodulatory potential of mesenchymal stem cells (MSCs) in rheumatoid arthritis (RA) has attracted considerable scientific attention in recent decades. This study aimed to evaluate the expression of genes encoding interleukin (IL)4 and IL10, as well as interferongamma (IFNG) and transforming growth factor beta (TGFB1) in refractory RA patients following intravenous injection of autologous bone marrow-derived MSCs (BM-MSCs).","container-title":"Iranian Journal of Allergy, Asthma and Immunology","DOI":"10.18502/ijaai.v22i2.12679","ISSN":"1735-5249, 1735-1502","journalAbbreviation":"IJAAI","language":"en","source":"DOI.org (Crossref)","title":"The Effects of Mesenchymal Stem Cells on the Gene Expression of TGF-beta and IFN-gamma in Patients with Rheumatoid Arthritis","URL":"https://publish.kne-publishing.com/index.php/IJAAI/article/view/12679","author":[{"family":"Rahimi-Khorashad","given":"Maryam"},{"family":"Ghoryani","given":"Mohsen"},{"family":"Shabgah","given":"Arezoo Gowhari"},{"family":"Shariati-Sarabi","given":"Zhaleh"},{"family":"Tavakkol-Afshari","given":"Jalil"},{"family":"Mohammadi","given":"Mojgan"}],"accessed":{"date-parts":[["2025",6,9]]},"issued":{"date-parts":[["2023",5,13]]}}}],"schema":"https://github.com/citation-style-language/schema/raw/master/csl-citation.json"} </w:instrText>
      </w:r>
      <w:r>
        <w:rPr>
          <w:lang w:val="en-GB"/>
        </w:rPr>
        <w:fldChar w:fldCharType="separate"/>
      </w:r>
      <w:r w:rsidRPr="00CE4770">
        <w:rPr>
          <w:rFonts w:ascii="Aptos" w:hAnsi="Aptos"/>
          <w:lang w:val="en-GB"/>
        </w:rPr>
        <w:t>(Rahimi-</w:t>
      </w:r>
      <w:proofErr w:type="spellStart"/>
      <w:r w:rsidRPr="00CE4770">
        <w:rPr>
          <w:rFonts w:ascii="Aptos" w:hAnsi="Aptos"/>
          <w:lang w:val="en-GB"/>
        </w:rPr>
        <w:t>Khorashad</w:t>
      </w:r>
      <w:proofErr w:type="spellEnd"/>
      <w:r w:rsidRPr="00CE4770">
        <w:rPr>
          <w:rFonts w:ascii="Aptos" w:hAnsi="Aptos"/>
          <w:lang w:val="en-GB"/>
        </w:rPr>
        <w:t xml:space="preserve"> et al., 2023)</w:t>
      </w:r>
      <w:r>
        <w:rPr>
          <w:lang w:val="en-GB"/>
        </w:rPr>
        <w:fldChar w:fldCharType="end"/>
      </w:r>
      <w:r w:rsidRPr="00CE4770">
        <w:rPr>
          <w:lang w:val="en-GB"/>
        </w:rPr>
        <w:t xml:space="preserve">. </w:t>
      </w:r>
      <w:r w:rsidRPr="00CE4770">
        <w:t>Dendritische cellen activeren ook Th17 cellen</w:t>
      </w:r>
      <w:r w:rsidR="00CE4770" w:rsidRPr="00CE4770">
        <w:t xml:space="preserve"> die pro-</w:t>
      </w:r>
      <w:proofErr w:type="spellStart"/>
      <w:r w:rsidR="00CE4770" w:rsidRPr="00CE4770">
        <w:t>inflamentoir</w:t>
      </w:r>
      <w:proofErr w:type="spellEnd"/>
      <w:r w:rsidR="00CE4770" w:rsidRPr="00CE4770">
        <w:t xml:space="preserve"> z</w:t>
      </w:r>
      <w:r w:rsidR="00CE4770">
        <w:t xml:space="preserve">ijn en il17 produceren die ook ontstekingsbevorderend is dit leid tot </w:t>
      </w:r>
      <w:proofErr w:type="spellStart"/>
      <w:r w:rsidR="00CE4770" w:rsidRPr="00CE4770">
        <w:t>autoimmune-derived</w:t>
      </w:r>
      <w:proofErr w:type="spellEnd"/>
      <w:r w:rsidR="00CE4770" w:rsidRPr="00CE4770">
        <w:t xml:space="preserve"> tissue </w:t>
      </w:r>
      <w:proofErr w:type="spellStart"/>
      <w:r w:rsidR="00CE4770" w:rsidRPr="00CE4770">
        <w:t>inflammation</w:t>
      </w:r>
      <w:proofErr w:type="spellEnd"/>
      <w:r w:rsidR="00CE4770" w:rsidRPr="00CE4770">
        <w:t xml:space="preserve"> </w:t>
      </w:r>
      <w:proofErr w:type="spellStart"/>
      <w:r w:rsidR="00CE4770" w:rsidRPr="00CE4770">
        <w:t>and</w:t>
      </w:r>
      <w:proofErr w:type="spellEnd"/>
      <w:r w:rsidR="00CE4770" w:rsidRPr="00CE4770">
        <w:t xml:space="preserve"> joint </w:t>
      </w:r>
      <w:proofErr w:type="spellStart"/>
      <w:r w:rsidR="00CE4770" w:rsidRPr="00CE4770">
        <w:t>damage</w:t>
      </w:r>
      <w:proofErr w:type="spellEnd"/>
      <w:r w:rsidR="00CE4770">
        <w:t>.</w:t>
      </w:r>
      <w:r w:rsidR="00CE4770" w:rsidRPr="00CE4770">
        <w:t xml:space="preserve"> </w:t>
      </w:r>
      <w:r w:rsidR="00CE4770">
        <w:rPr>
          <w:lang w:val="en-GB"/>
        </w:rPr>
        <w:fldChar w:fldCharType="begin"/>
      </w:r>
      <w:r w:rsidR="00CE4770" w:rsidRPr="00CE4770">
        <w:instrText xml:space="preserve"> ADDIN ZOTERO_ITEM CSL_CITATION {"citationID":"z5xSZPtE","properties":{"formattedCitation":"(Paradowska-Gorycka et al., 2020)","plainCitation":"(Paradowska-Gorycka et al., 2020)","noteIndex":0},"citationItems":[{"id":507,"uris":["http://zotero.org/users/local/beyTtIxb/items/UICULBMJ"],"itemData":{"id":507,"type":"article-journal","abstract":"Objectives: The aim of our study was to determine whether there is a correlation between transcription factors expression and Th17/Treg ratio, cytokine pro</w:instrText>
      </w:r>
      <w:r w:rsidR="00CE4770">
        <w:rPr>
          <w:lang w:val="en-GB"/>
        </w:rPr>
        <w:instrText>ﬁ</w:instrText>
      </w:r>
      <w:r w:rsidR="00CE4770" w:rsidRPr="00CE4770">
        <w:instrText xml:space="preserve">le in the RA phenotype as well as to identify transcription factors that could be a potential biomarker for RA.\nMethods: The study was conducted on 45 patients with RA, 27 patients with OA and 46 healthy controls (HCs). Th17 and Treg frequency was determined by </w:instrText>
      </w:r>
      <w:r w:rsidR="00CE4770">
        <w:rPr>
          <w:lang w:val="en-GB"/>
        </w:rPr>
        <w:instrText>ﬂ</w:instrText>
      </w:r>
      <w:r w:rsidR="00CE4770" w:rsidRPr="00CE4770">
        <w:instrText>ow cytometry (15 patients with RA/OA and 15 subjects of HC). Gene expression was estimated by qPCR, and the serum cytokine levels were determined by ELISA.\nResults: The percentage of Treg (CD4+CD25highCD127-) cells in RA patients was lower than in OA patients or HCs. Proportions of Th17 (CD4+CCR6+CXCR3-) cells were higher in RA and OA in comparison to HCs. STAT5 showed a very high expression in the blood of RA patients compared to healthy subjects. The expression of STAT5 and HELIOS was not detected in Th17 cells. A positive correlat</w:instrText>
      </w:r>
      <w:r w:rsidR="00CE4770">
        <w:rPr>
          <w:lang w:val="en-GB"/>
        </w:rPr>
        <w:instrText>ion between SMAD3 and STAT3 in RA patients was observed. Negative correlations between HIF-1A and SMAD2 in RA Treg cells and DAS-28 score were observed. The range of serum of IL-17 and IL-21 were higher in RA patient</w:instrText>
      </w:r>
      <w:r w:rsidR="00CE4770" w:rsidRPr="00CE4770">
        <w:rPr>
          <w:lang w:val="en-GB"/>
        </w:rPr>
        <w:instrText xml:space="preserve">s than in OA patients. Concentrations of serum IL-2 and IFN-g were higher in RA and OA patients than in healthy subjects. Based on the ROC analysis, the diagnostic potential of the combination of HIF1A, SMAD3 and STAT3, was determined at AUC 0.95 for distinguishing RA patients from HCs. For distinguishing RA patients from OA patients the diagnostic potential of the combination of SMAD2, SMAD3, SMAD4 and STAT3, was determined at AUC 0.95.\nConclusion: Based on our study, we conclude that SMAD3 and STAT3 could be potential diagnostic biomarkers for RA.","container-title":"Frontiers in Immunology","DOI":"10.3389/fimmu.2020.572858","ISSN":"1664-3224","journalAbbreviation":"Front. Immunol.","language":"en","page":"572858","source":"DOI.org (Crossref)","title":"Th17/Treg-Related Transcriptional Factor Expression and Cytokine Profile in Patients With Rheumatoid Arthritis","volume":"11","author":[{"family":"Paradowska-Gorycka","given":"Agnieszka"},{"family":"Wajda","given":"Anna"},{"family":"Romanowska-Próchnicka","given":"Katarzyna"},{"family":"Walczuk","given":"Ewa"},{"family":"Kuca-Warnawin","given":"Ewa"},{"family":"Kmiolek","given":"Tomasz"},{"family":"Stypinska","given":"Barbara"},{"family":"Rzeszotarska","given":"Ewa"},{"family":"Majewski","given":"Dominik"},{"family":"Jagodzinski","given":"Pawel Piotr"},{"family":"Pawlik","given":"Andrzej"}],"issued":{"date-parts":[["2020",12,11]]}}}],"schema":"https://github.com/citation-style-language/schema/raw/master/csl-citation.json"} </w:instrText>
      </w:r>
      <w:r w:rsidR="00CE4770">
        <w:rPr>
          <w:lang w:val="en-GB"/>
        </w:rPr>
        <w:fldChar w:fldCharType="separate"/>
      </w:r>
      <w:r w:rsidR="00CE4770" w:rsidRPr="00CE4770">
        <w:rPr>
          <w:rFonts w:ascii="Aptos" w:hAnsi="Aptos"/>
          <w:lang w:val="en-GB"/>
        </w:rPr>
        <w:t>(Paradowska-</w:t>
      </w:r>
      <w:proofErr w:type="spellStart"/>
      <w:r w:rsidR="00CE4770" w:rsidRPr="00CE4770">
        <w:rPr>
          <w:rFonts w:ascii="Aptos" w:hAnsi="Aptos"/>
          <w:lang w:val="en-GB"/>
        </w:rPr>
        <w:t>Gorycka</w:t>
      </w:r>
      <w:proofErr w:type="spellEnd"/>
      <w:r w:rsidR="00CE4770" w:rsidRPr="00CE4770">
        <w:rPr>
          <w:rFonts w:ascii="Aptos" w:hAnsi="Aptos"/>
          <w:lang w:val="en-GB"/>
        </w:rPr>
        <w:t xml:space="preserve"> et al., 2020)</w:t>
      </w:r>
      <w:r w:rsidR="00CE4770">
        <w:rPr>
          <w:lang w:val="en-GB"/>
        </w:rPr>
        <w:fldChar w:fldCharType="end"/>
      </w:r>
      <w:r w:rsidR="00CE4770">
        <w:rPr>
          <w:lang w:val="en-GB"/>
        </w:rPr>
        <w:t xml:space="preserve">. </w:t>
      </w:r>
      <w:r w:rsidR="00CE4770" w:rsidRPr="001870DD">
        <w:t xml:space="preserve">De downregulatie van </w:t>
      </w:r>
      <w:proofErr w:type="spellStart"/>
      <w:r w:rsidR="00CE4770" w:rsidRPr="001870DD">
        <w:t>TGFbeta</w:t>
      </w:r>
      <w:proofErr w:type="spellEnd"/>
      <w:r w:rsidR="00CE4770" w:rsidRPr="001870DD">
        <w:t xml:space="preserve"> kan verklaard worden doordat </w:t>
      </w:r>
      <w:r w:rsidR="00CE4770" w:rsidRPr="001870DD">
        <w:rPr>
          <w:highlight w:val="yellow"/>
        </w:rPr>
        <w:t>…..</w:t>
      </w:r>
      <w:r w:rsidR="00CE4770" w:rsidRPr="001870DD">
        <w:t xml:space="preserve"> </w:t>
      </w:r>
      <w:r w:rsidR="001870DD" w:rsidRPr="001870DD">
        <w:t>Als l</w:t>
      </w:r>
      <w:r w:rsidR="001870DD">
        <w:t xml:space="preserve">aatste bevordert </w:t>
      </w:r>
      <w:proofErr w:type="spellStart"/>
      <w:r w:rsidR="001870DD">
        <w:t>synaviale</w:t>
      </w:r>
      <w:proofErr w:type="spellEnd"/>
      <w:r w:rsidR="001870DD">
        <w:t xml:space="preserve"> fibroblasten de </w:t>
      </w:r>
      <w:proofErr w:type="spellStart"/>
      <w:r w:rsidR="001870DD">
        <w:t>osteoclasts</w:t>
      </w:r>
      <w:proofErr w:type="spellEnd"/>
      <w:r w:rsidR="001870DD">
        <w:t xml:space="preserve"> worden over geactiveerd waardoor V-</w:t>
      </w:r>
      <w:proofErr w:type="spellStart"/>
      <w:r w:rsidR="001870DD">
        <w:t>ATPase</w:t>
      </w:r>
      <w:proofErr w:type="spellEnd"/>
      <w:r w:rsidR="001870DD">
        <w:t xml:space="preserve"> is </w:t>
      </w:r>
      <w:proofErr w:type="spellStart"/>
      <w:r w:rsidR="001870DD">
        <w:t>upregulated</w:t>
      </w:r>
      <w:proofErr w:type="spellEnd"/>
      <w:r w:rsidR="001870DD">
        <w:t xml:space="preserve"> wat leid tot de afbraak van botten (</w:t>
      </w:r>
      <w:proofErr w:type="spellStart"/>
      <w:r w:rsidR="001870DD">
        <w:t>bone</w:t>
      </w:r>
      <w:proofErr w:type="spellEnd"/>
      <w:r w:rsidR="001870DD">
        <w:t xml:space="preserve"> </w:t>
      </w:r>
      <w:proofErr w:type="spellStart"/>
      <w:r w:rsidR="001870DD">
        <w:t>resorption</w:t>
      </w:r>
      <w:proofErr w:type="spellEnd"/>
      <w:r w:rsidR="001870DD">
        <w:t>).</w:t>
      </w:r>
      <w:r w:rsidR="001870DD">
        <w:rPr>
          <w:lang w:val="en-GB"/>
        </w:rPr>
        <w:fldChar w:fldCharType="begin"/>
      </w:r>
      <w:r w:rsidR="001870DD" w:rsidRPr="001870DD">
        <w:instrText xml:space="preserve"> ADDIN ZOTERO_ITEM CSL_CITATION {"citationID":"jSbIJvdb","properties":{"formattedCitation":"(Kov\\uc0\\u225{}cs et al., 2022)","plainCitation":"(Kovács et al., 2022)","noteIndex":0},"citationItems":[{"id":509,"uris":["http://zotero.org/users/local/beyTtIxb/items/BH2RHFT5"],"itemData":{"id":509,"type":"article-journal","abstract":"Conclusions: Our results shed light on the characteristic proteomic changes during human osteoclast differentiation and expression differences in RA and PsA, which reveal important pathophysiological insights in both diseases.","container-title":"Frontiers in Immunology","DOI":"10.3389/fimmu.2022.892970","ISSN":"1664-3224","journalAbbreviation":"Front. Immunol.","language":"en","page":"892970","source":"DOI.org (Crossref)","title":"Proteomic Changes of Osteoclast Differentiation in Rheumatoid and Psoriatic Arthritis Reveal Functional Differences","volume":"13","author":[{"family":"Kovács","given":"Orsolya Tünde"},{"family":"Tóth","given":"Eszter"},{"family":"Ozohanics","given":"Olivér"},{"family":"Soltész-Katona","given":"Eszter"},{"family":"Marton","given":"Nikolett"},{"family":"Buzás","given":"Edit Irén"},{"family":"Hunyady","given":"László"},{"family":"Drahos","given":"László"},{"family":"Turu","given":"Gábor"},{"family":"Nagy","given":"György"}],"issued":{"date-parts":[["2022",7,4]]}}}],"schema":"https://github.com/citation-style-language/schema/raw/master/csl-citation.json"} </w:instrText>
      </w:r>
      <w:r w:rsidR="001870DD">
        <w:rPr>
          <w:lang w:val="en-GB"/>
        </w:rPr>
        <w:fldChar w:fldCharType="separate"/>
      </w:r>
      <w:r w:rsidR="001870DD" w:rsidRPr="001870DD">
        <w:rPr>
          <w:rFonts w:ascii="Aptos" w:hAnsi="Aptos" w:cs="Times New Roman"/>
          <w:kern w:val="0"/>
        </w:rPr>
        <w:t>(Kovács et al., 2022)</w:t>
      </w:r>
      <w:r w:rsidR="001870DD">
        <w:rPr>
          <w:lang w:val="en-GB"/>
        </w:rPr>
        <w:fldChar w:fldCharType="end"/>
      </w:r>
    </w:p>
    <w:p w14:paraId="5B4B2515" w14:textId="784AF8ED" w:rsidR="00312FFB" w:rsidRDefault="006D7181" w:rsidP="00CE4770">
      <w:pPr>
        <w:rPr>
          <w:lang w:val="en-GB"/>
        </w:rPr>
      </w:pPr>
      <w:r w:rsidRPr="006D7181">
        <w:t>Angiogenesis is een pro</w:t>
      </w:r>
      <w:r>
        <w:t xml:space="preserve">ces waarbij nieuwe bloedvaten worden gevormd. In RA word continu </w:t>
      </w:r>
      <w:proofErr w:type="spellStart"/>
      <w:r>
        <w:t>niewe</w:t>
      </w:r>
      <w:proofErr w:type="spellEnd"/>
      <w:r>
        <w:t xml:space="preserve"> bloedvaten gevormd waardoor </w:t>
      </w:r>
      <w:proofErr w:type="spellStart"/>
      <w:r>
        <w:t>immuuncellen</w:t>
      </w:r>
      <w:proofErr w:type="spellEnd"/>
      <w:r>
        <w:t xml:space="preserve"> naar het </w:t>
      </w:r>
      <w:proofErr w:type="spellStart"/>
      <w:r>
        <w:t>synoviem</w:t>
      </w:r>
      <w:proofErr w:type="spellEnd"/>
      <w:r>
        <w:t xml:space="preserve"> kunnen </w:t>
      </w:r>
      <w:r>
        <w:rPr>
          <w:lang w:val="en-GB"/>
        </w:rPr>
        <w:fldChar w:fldCharType="begin"/>
      </w:r>
      <w:r w:rsidRPr="006D7181">
        <w:instrText xml:space="preserve"> ADDIN ZOTERO_ITEM CSL_CITATION {"citationID":"J5uYeGFC","properties":{"formattedCitation":"(Khodadust et al., 2022)","plainCitation":"(Khodadust et al., 2022)","noteIndex":0},"citationItems":[{"id":521,"uris":["http://zotero.org/users/local/beyTtIxb/items/Q29UBSGL"],"itemData":{"id":521,"type":"article-journal","abstract":"Extensive angiogenesis is a characteristic feature in the synovial tissue of rheumatoid arthritis (RA) from a very early stage of the disease onward and constitutes a crucial event for the development of the proliferative synovium. This process is markedly intensified in patients with prolonged disease duration, high disease activity, disease severity, and significant inflammatory cell infiltration. Angiogenesis is therefore an interesting target for the development of new therapeutic approaches as well as disease monitoring strategies in RA. To this end, nuclear imaging modalities represent valuable non-invasive tools that can selectively target molecular markers of angiogenesis and accurately and quantitatively track molecular changes in multiple joints simultaneously. This systematic review summarizes the imaging markers used for single photon emission computed tomography (SPECT) and/or positron emission tomography (PET) approaches, targeting pathways and mediators involved in synovial neo-angiogenesis in RA.","container-title":"International Journal of Molecular Sciences","DOI":"10.3390/ijms23137071","ISSN":"1422-0067","issue":"13","language":"en","license":"http://creativecommons.org/licenses/by/3.0/","note":"number: 13\npublisher: Multidisciplinary Digital Publishing Institute","page":"7071","source":"www.mdpi.com","title":"Systematic Review: Targeted Molecular Imaging of Angiogenesis and Its Mediators in Rheumatoid Arthritis","title-short":"Systematic Review","volume":"23","author":[{"family":"Khodadust","given":"Fatemeh"},{"family":"Ezdoglian","given":"Aiarpi"},{"family":"Steinz","given":"Maarten M."},{"family":"Beijnum","given":"Judy R.","non-dropping-particle":"van"},{"family":"Zwezerijnen","given":"Gerben J. C."},{"family":"Jansen","given":"Gerrit"},{"family":"Tas","given":"Sander W."},{"family":"Laken","given":"Conny J.","non-dropping-particle":"van der"}],"issued":{"date-parts":[["2022",1]]}}}],"schema":"https://github.com/citation-style-language/schema/raw/master/csl-citation.json"} </w:instrText>
      </w:r>
      <w:r>
        <w:rPr>
          <w:lang w:val="en-GB"/>
        </w:rPr>
        <w:fldChar w:fldCharType="separate"/>
      </w:r>
      <w:r w:rsidRPr="006D7181">
        <w:rPr>
          <w:rFonts w:ascii="Aptos" w:hAnsi="Aptos"/>
        </w:rPr>
        <w:t>(</w:t>
      </w:r>
      <w:proofErr w:type="spellStart"/>
      <w:r w:rsidRPr="006D7181">
        <w:rPr>
          <w:rFonts w:ascii="Aptos" w:hAnsi="Aptos"/>
        </w:rPr>
        <w:t>Khodadust</w:t>
      </w:r>
      <w:proofErr w:type="spellEnd"/>
      <w:r w:rsidRPr="006D7181">
        <w:rPr>
          <w:rFonts w:ascii="Aptos" w:hAnsi="Aptos"/>
        </w:rPr>
        <w:t xml:space="preserve"> et al., 2022)</w:t>
      </w:r>
      <w:r>
        <w:rPr>
          <w:lang w:val="en-GB"/>
        </w:rPr>
        <w:fldChar w:fldCharType="end"/>
      </w:r>
      <w:r>
        <w:t xml:space="preserve">. </w:t>
      </w:r>
      <w:r w:rsidR="00312FFB" w:rsidRPr="00312FFB">
        <w:t xml:space="preserve">CXCL </w:t>
      </w:r>
      <w:r>
        <w:t xml:space="preserve">en CCL </w:t>
      </w:r>
      <w:r w:rsidR="00312FFB" w:rsidRPr="00312FFB">
        <w:t xml:space="preserve">are </w:t>
      </w:r>
      <w:proofErr w:type="spellStart"/>
      <w:r w:rsidR="00312FFB" w:rsidRPr="00312FFB">
        <w:t>chemokines</w:t>
      </w:r>
      <w:proofErr w:type="spellEnd"/>
      <w:r w:rsidR="00312FFB" w:rsidRPr="00312FFB">
        <w:t xml:space="preserve"> die de</w:t>
      </w:r>
      <w:r w:rsidR="00312FFB">
        <w:t xml:space="preserve"> lymfocyten aantrekken naar de bloedvaten </w:t>
      </w:r>
      <w:r w:rsidR="00312FFB">
        <w:rPr>
          <w:lang w:val="en-GB"/>
        </w:rPr>
        <w:fldChar w:fldCharType="begin"/>
      </w:r>
      <w:r w:rsidR="00312FFB" w:rsidRPr="00312FFB">
        <w:instrText xml:space="preserve"> ADDIN ZOTERO_ITEM CSL_CITATION {"citationID":"CWLJZ2vP","properties":{"formattedCitation":"(X. Chen et al., 2020)","plainCitation":"(X. Chen et al., 2020)","noteIndex":0},"citationItems":[{"id":523,"uris":["http://zotero.org/users/local/beyTtIxb/items/V5SUDNS3"],"itemData":{"id":523,"type":"article-journal","abstract":"The chemokine (C-X-C motif) ligand (CXCL) family plays an important role in inflammation. In order to understand the role of CXC chemokine family in carcinogenesis, this study explored a group of early gastric cancer (GC) patients, and assessed the level of CXC chemokine ligand (CXCL) in blood samples of patients representing systemic circulation and tumor microenvironment, detected the expression of CXC chemokine receptor (CXCR) in tumor tissues, and measured tumor infiltrating immune cell subsets. 69 patients with GC were included in a single center prospective study and were followed up for 6 years. The level of CXCL1-14 was determined by ELISA and the concentration gradient of chemokine was calculated. Western blot was used to detect the expression of CXCR1, CXCR2, CXCR3, and CXCR4 in tumor tissue. CXCL1-14 expression was inhibited by siRNA in HGC27 cells and then the migration ability of HGC27 cells was detected by cell scratch test. The results of this study showed that the chemokine concentrations of CXCL1, CXCL2, CXCL5, CXCL8, CXCL11, and CXCL13 in peripheral blood and tumor drainage blood of pat</w:instrText>
      </w:r>
      <w:r w:rsidR="00312FFB" w:rsidRPr="006D7181">
        <w:instrText xml:space="preserve">ients without recurrence after treatment were significantly lower than those before treatment. The concentrations of CXCL1, CXCL2, CXCL4, CXCL5, CXCL7, CXCL8, CXCL9, CXCL10, CXCL12, CXCL13, and CXCL14 in peripheral blood and tumor drainage blood were significantly higher than those in patients without recurrence. Patients with low expression of CXCR1 and CXCR3 had lower AFP (alpha fetoprotein), smaller tumor volume, and lower TNM tumor stage. Patients with lower expression of CXCR2 and CXCR4 had higher AFP (alpha fetoprotein) level, larger tumor volume, and higher TNM tumor stage. After down-regulation of CXCLs expression, the migration ability of most cell lines was significantly inhibited. This study suggests that CXCL chemokine family plays an important role in the pathogenesis of GC and can be used as a marker for the development of GC.","container-title":"International Journal of Clinical and Experimental Pathology","ISSN":"1936-2625","issue":"3","journalAbbreviation":"Int J Clin Exp Pathol","language":"eng","note":"PMID: 32269686\nPMCID: PMC7137023","page":"484-492","source":"PubMed","title":"The role of CXCL chemokine family in the development and progression of gastric cancer","volume":"13","author":[{"family":"Chen","given":"Xuyan"},{"family":"Chen","given":"Renpin"},{"family":"Jin","given":"Ruifang"},{"family":"Huang","given":"Zhiming"}],"issued":{"date-parts":[["2020"]]}}}],"schema":"https://github.com/citation-style-language/schema/raw/master/csl-citation.json"} </w:instrText>
      </w:r>
      <w:r w:rsidR="00312FFB">
        <w:rPr>
          <w:lang w:val="en-GB"/>
        </w:rPr>
        <w:fldChar w:fldCharType="separate"/>
      </w:r>
      <w:r w:rsidR="00312FFB" w:rsidRPr="006D7181">
        <w:rPr>
          <w:rFonts w:ascii="Aptos" w:hAnsi="Aptos"/>
        </w:rPr>
        <w:t>(X</w:t>
      </w:r>
      <w:r w:rsidR="00312FFB" w:rsidRPr="006D7181">
        <w:rPr>
          <w:rFonts w:ascii="Aptos" w:hAnsi="Aptos"/>
        </w:rPr>
        <w:t xml:space="preserve">. </w:t>
      </w:r>
      <w:r w:rsidR="00312FFB" w:rsidRPr="006D7181">
        <w:rPr>
          <w:rFonts w:ascii="Aptos" w:hAnsi="Aptos"/>
        </w:rPr>
        <w:t>Chen et al., 2020)</w:t>
      </w:r>
      <w:r w:rsidR="00312FFB">
        <w:rPr>
          <w:lang w:val="en-GB"/>
        </w:rPr>
        <w:fldChar w:fldCharType="end"/>
      </w:r>
      <w:r w:rsidRPr="006D7181">
        <w:t xml:space="preserve"> </w:t>
      </w:r>
      <w:r>
        <w:rPr>
          <w:lang w:val="en-GB"/>
        </w:rPr>
        <w:fldChar w:fldCharType="begin"/>
      </w:r>
      <w:r w:rsidRPr="006D7181">
        <w:instrText xml:space="preserve"> ADDIN ZOTERO_ITEM CSL_CITATION {"citationID":"k1IrYfAC","properties":{"formattedCitation":"(Zhu et al., 2021)","plainCitation":"(Zhu et al., 2021)","noteIndex":0},"citationItems":[{"id":525,"uris":["http://zotero.org/users/local/beyTtIxb/items/V7IEI7IY"],"itemData":{"id":525,"type":"article-journal","abstract":"Monocyte chemoattractant protein-1, also called chemokine (C-C motif) ligand 2 (CCL2) or small inducible cytokine A2, is an inflammatory mediator capable of recruiting monocytes, memory T cells, and dendritic cells. CCL2 is a member of the CC chemokine superfamily, which binds to its receptor, C-C motif chemokine receptor-2 (CCR2), for the induction of chemotactic activity and an increase of calcium influx. It exerts multiple effects on a variety of cells, including monocytes, macrophages, osteoclasts, basophils, and endothelial cells, and is involved in a diverse range of diseases. This review discusses the molecular structure and role of CCL2 and CCR2 in skeletal biology and disease. Molecular structure analyses reveal that CCL2 shares a conserved C-C motif; however, it has only limited sequence homology with other CCL family members. Likewise, CCR2, as a member of the G-protein-coupled seven-transmembrane receptor superfamily, shares conserved cysteine residues, but exhibits very limited sequence homology with other CCR family members. In the skeletal system, the expression of CCL2 is regulated by a variety of factors, such as parathyroid hormone/parathyroid hormone-related peptide, interleukin 1b, tumor necrosis factor-</w:instrText>
      </w:r>
      <w:r>
        <w:rPr>
          <w:lang w:val="en-GB"/>
        </w:rPr>
        <w:instrText>α</w:instrText>
      </w:r>
      <w:r w:rsidRPr="006D7181">
        <w:instrText xml:space="preserve"> and transforming growth factor-beta, RANKL, and mechanical forces. The interaction of CCL2 and CCR2 activates several signaling cascades, including PI3K/Akt/ERK/NF-</w:instrText>
      </w:r>
      <w:r>
        <w:rPr>
          <w:lang w:val="en-GB"/>
        </w:rPr>
        <w:instrText>κ</w:instrText>
      </w:r>
      <w:r w:rsidRPr="006D7181">
        <w:instrText xml:space="preserve">B, PI3K/MAPKs, and JAK/STAT-1/STAT-3. Understanding the role of CCL2 and CCR2 will facilitate the development of novel therapies for skeletal disorders, including rheumatoid arthritis, osteolysis and other inflammatory diseases related to abnormal chemotaxis.","container-title":"Journal of Cellular Physiology","DOI":"10.1002/jcp.30375","ISSN":"1097-4652","issue":"10","journalAbbreviation":"J Cell Physiol","language":"eng","note":"PMID: 33782965","page":"7211-7222","source":"PubMed","title":"The molecular structure and role of CCL2 (MCP-1) and C-C chemokine receptor CCR2 in skeletal biology and diseases","volume":"236","author":[{"family":"Zhu","given":"Sipin"},{"family":"Liu","given":"Mei"},{"family":"Bennett","given":"Samuel"},{"family":"Wang","given":"Ziyi"},{"family":"Pfleger","given":"Kevin D. G."},{"family":"Xu","given":"Jiake"}],"issued":{"date-parts":[["2021",10]]}}}],"schema":"https://github.com/citation-style-language/schema/raw/master/csl-citation.json"} </w:instrText>
      </w:r>
      <w:r>
        <w:rPr>
          <w:lang w:val="en-GB"/>
        </w:rPr>
        <w:fldChar w:fldCharType="separate"/>
      </w:r>
      <w:r w:rsidRPr="006D7181">
        <w:rPr>
          <w:rFonts w:ascii="Aptos" w:hAnsi="Aptos"/>
        </w:rPr>
        <w:t>(Zhu et al., 2021)</w:t>
      </w:r>
      <w:r>
        <w:rPr>
          <w:lang w:val="en-GB"/>
        </w:rPr>
        <w:fldChar w:fldCharType="end"/>
      </w:r>
      <w:r w:rsidR="009E06A2">
        <w:rPr>
          <w:lang w:val="en-GB"/>
        </w:rPr>
        <w:t>.</w:t>
      </w:r>
    </w:p>
    <w:p w14:paraId="01EEF70A" w14:textId="73628E06" w:rsidR="009E06A2" w:rsidRDefault="009E06A2" w:rsidP="00CE4770">
      <w:r w:rsidRPr="009E06A2">
        <w:t>In RA zijn pro-in</w:t>
      </w:r>
      <w:r>
        <w:t xml:space="preserve">flammatoire genen, cytokines en cellen </w:t>
      </w:r>
      <w:proofErr w:type="spellStart"/>
      <w:r>
        <w:t>upregulated</w:t>
      </w:r>
      <w:proofErr w:type="spellEnd"/>
      <w:r>
        <w:t xml:space="preserve"> waardoor er chronische ontstekingen in het synoviale pannus ontstaan. </w:t>
      </w:r>
    </w:p>
    <w:p w14:paraId="48369ECE" w14:textId="77777777" w:rsidR="009E06A2" w:rsidRPr="009E06A2" w:rsidRDefault="009E06A2" w:rsidP="00CE4770"/>
    <w:p w14:paraId="47C312A8" w14:textId="77777777" w:rsidR="00725DD8" w:rsidRDefault="00725DD8" w:rsidP="00CE4770"/>
    <w:p w14:paraId="0CDA4DA6" w14:textId="77777777" w:rsidR="006D7181" w:rsidRDefault="006D7181" w:rsidP="00CE4770"/>
    <w:p w14:paraId="3ED1BE20" w14:textId="77777777" w:rsidR="006D7181" w:rsidRDefault="006D7181" w:rsidP="00CE4770"/>
    <w:p w14:paraId="7B8F9632" w14:textId="77777777" w:rsidR="006D7181" w:rsidRDefault="006D7181" w:rsidP="00CE4770"/>
    <w:p w14:paraId="68FE1373" w14:textId="77777777" w:rsidR="006D7181" w:rsidRDefault="006D7181" w:rsidP="00CE4770"/>
    <w:p w14:paraId="1EE491DB" w14:textId="77777777" w:rsidR="006D7181" w:rsidRPr="006D7181" w:rsidRDefault="006D7181" w:rsidP="00CE4770"/>
    <w:p w14:paraId="4A9A1DBF" w14:textId="0F0E7143" w:rsidR="00261996" w:rsidRPr="006D7181" w:rsidRDefault="00261996" w:rsidP="00261996"/>
    <w:p w14:paraId="6662BE2F" w14:textId="77777777" w:rsidR="00181EFD" w:rsidRPr="006D7181" w:rsidRDefault="00181EFD" w:rsidP="00181EFD">
      <w:r w:rsidRPr="006D7181">
        <w:t xml:space="preserve">National Center </w:t>
      </w:r>
      <w:proofErr w:type="spellStart"/>
      <w:r w:rsidRPr="006D7181">
        <w:t>for</w:t>
      </w:r>
      <w:proofErr w:type="spellEnd"/>
      <w:r w:rsidRPr="006D7181">
        <w:t xml:space="preserve"> </w:t>
      </w:r>
      <w:proofErr w:type="spellStart"/>
      <w:r w:rsidRPr="006D7181">
        <w:t>Biotechnology</w:t>
      </w:r>
      <w:proofErr w:type="spellEnd"/>
      <w:r w:rsidRPr="006D7181">
        <w:t xml:space="preserve"> Information. (2024). </w:t>
      </w:r>
      <w:r w:rsidRPr="006D7181">
        <w:rPr>
          <w:i/>
          <w:iCs/>
        </w:rPr>
        <w:t xml:space="preserve">MT-ND6 </w:t>
      </w:r>
      <w:proofErr w:type="spellStart"/>
      <w:r w:rsidRPr="006D7181">
        <w:rPr>
          <w:i/>
          <w:iCs/>
        </w:rPr>
        <w:t>mitochondrially</w:t>
      </w:r>
      <w:proofErr w:type="spellEnd"/>
      <w:r w:rsidRPr="006D7181">
        <w:rPr>
          <w:i/>
          <w:iCs/>
        </w:rPr>
        <w:t xml:space="preserve"> </w:t>
      </w:r>
      <w:proofErr w:type="spellStart"/>
      <w:r w:rsidRPr="006D7181">
        <w:rPr>
          <w:i/>
          <w:iCs/>
        </w:rPr>
        <w:t>encoded</w:t>
      </w:r>
      <w:proofErr w:type="spellEnd"/>
      <w:r w:rsidRPr="006D7181">
        <w:rPr>
          <w:i/>
          <w:iCs/>
        </w:rPr>
        <w:t xml:space="preserve"> NADH dehydrogenase 6</w:t>
      </w:r>
      <w:r w:rsidRPr="006D7181">
        <w:t xml:space="preserve">. Gene ID: 4541. National Library of </w:t>
      </w:r>
      <w:proofErr w:type="spellStart"/>
      <w:r w:rsidRPr="006D7181">
        <w:t>Medicine</w:t>
      </w:r>
      <w:proofErr w:type="spellEnd"/>
      <w:r w:rsidRPr="006D7181">
        <w:t xml:space="preserve">. </w:t>
      </w:r>
      <w:proofErr w:type="spellStart"/>
      <w:r w:rsidRPr="006D7181">
        <w:t>Retrieved</w:t>
      </w:r>
      <w:proofErr w:type="spellEnd"/>
      <w:r w:rsidRPr="006D7181">
        <w:t xml:space="preserve"> </w:t>
      </w:r>
      <w:proofErr w:type="spellStart"/>
      <w:r w:rsidRPr="006D7181">
        <w:t>June</w:t>
      </w:r>
      <w:proofErr w:type="spellEnd"/>
      <w:r w:rsidRPr="006D7181">
        <w:t xml:space="preserve"> 10, 2025, </w:t>
      </w:r>
      <w:proofErr w:type="spellStart"/>
      <w:r w:rsidRPr="006D7181">
        <w:t>from</w:t>
      </w:r>
      <w:proofErr w:type="spellEnd"/>
      <w:r w:rsidRPr="006D7181">
        <w:t xml:space="preserve"> </w:t>
      </w:r>
      <w:hyperlink r:id="rId11" w:tgtFrame="_new" w:history="1">
        <w:r w:rsidRPr="006D7181">
          <w:rPr>
            <w:rStyle w:val="Hyperlink"/>
          </w:rPr>
          <w:t>https://www.ncbi.nlm.nih.gov/gtr/genes/4541/</w:t>
        </w:r>
      </w:hyperlink>
    </w:p>
    <w:p w14:paraId="6C5585A3" w14:textId="157403BA" w:rsidR="00F33944" w:rsidRPr="006D7181" w:rsidRDefault="00F33944"/>
    <w:p w14:paraId="010CC0FE" w14:textId="77777777" w:rsidR="00240B48" w:rsidRPr="006D7181" w:rsidRDefault="00240B48"/>
    <w:p w14:paraId="033AE3D3" w14:textId="77777777" w:rsidR="00240B48" w:rsidRPr="006D7181" w:rsidRDefault="00240B48"/>
    <w:p w14:paraId="5839941E" w14:textId="77777777" w:rsidR="009E06A2" w:rsidRPr="009E06A2" w:rsidRDefault="00240B48" w:rsidP="009E06A2">
      <w:pPr>
        <w:pStyle w:val="Bibliografie"/>
        <w:rPr>
          <w:rFonts w:ascii="Aptos" w:hAnsi="Aptos"/>
          <w:lang w:val="en-GB"/>
        </w:rPr>
      </w:pPr>
      <w:r>
        <w:rPr>
          <w:lang w:val="en-GB"/>
        </w:rPr>
        <w:fldChar w:fldCharType="begin"/>
      </w:r>
      <w:r w:rsidRPr="006D7181">
        <w:instrText xml:space="preserve"> ADDIN ZOTERO_BIBL {"uncited":[],"omitted":[],"custom":[]} CSL_BIBLIOGRAPHY </w:instrText>
      </w:r>
      <w:r>
        <w:rPr>
          <w:lang w:val="en-GB"/>
        </w:rPr>
        <w:fldChar w:fldCharType="separate"/>
      </w:r>
      <w:r w:rsidR="009E06A2" w:rsidRPr="009E06A2">
        <w:rPr>
          <w:rFonts w:ascii="Aptos" w:hAnsi="Aptos"/>
        </w:rPr>
        <w:t xml:space="preserve">Arntz, O. J., </w:t>
      </w:r>
      <w:proofErr w:type="spellStart"/>
      <w:r w:rsidR="009E06A2" w:rsidRPr="009E06A2">
        <w:rPr>
          <w:rFonts w:ascii="Aptos" w:hAnsi="Aptos"/>
        </w:rPr>
        <w:t>Thurlings</w:t>
      </w:r>
      <w:proofErr w:type="spellEnd"/>
      <w:r w:rsidR="009E06A2" w:rsidRPr="009E06A2">
        <w:rPr>
          <w:rFonts w:ascii="Aptos" w:hAnsi="Aptos"/>
        </w:rPr>
        <w:t xml:space="preserve">, R. M., </w:t>
      </w:r>
      <w:proofErr w:type="spellStart"/>
      <w:r w:rsidR="009E06A2" w:rsidRPr="009E06A2">
        <w:rPr>
          <w:rFonts w:ascii="Aptos" w:hAnsi="Aptos"/>
        </w:rPr>
        <w:t>Blaney</w:t>
      </w:r>
      <w:proofErr w:type="spellEnd"/>
      <w:r w:rsidR="009E06A2" w:rsidRPr="009E06A2">
        <w:rPr>
          <w:rFonts w:ascii="Aptos" w:hAnsi="Aptos"/>
        </w:rPr>
        <w:t xml:space="preserve"> Davidson, E. N., Jansen, P. W. T. C., Vermeulen, M., Koenders, M. I., Van Der Kraan, P. M., &amp; Van De Loo, F. A. J. (2024). </w:t>
      </w:r>
      <w:r w:rsidR="009E06A2" w:rsidRPr="009E06A2">
        <w:rPr>
          <w:rFonts w:ascii="Aptos" w:hAnsi="Aptos"/>
          <w:lang w:val="en-GB"/>
        </w:rPr>
        <w:t xml:space="preserve">Profiling of plasma extracellular vesicles identifies proteins that strongly associate with patient’s global assessment of disease activity in rheumatoid arthritis. </w:t>
      </w:r>
      <w:r w:rsidR="009E06A2" w:rsidRPr="009E06A2">
        <w:rPr>
          <w:rFonts w:ascii="Aptos" w:hAnsi="Aptos"/>
          <w:i/>
          <w:iCs/>
          <w:lang w:val="en-GB"/>
        </w:rPr>
        <w:t>Frontiers in Medicine</w:t>
      </w:r>
      <w:r w:rsidR="009E06A2" w:rsidRPr="009E06A2">
        <w:rPr>
          <w:rFonts w:ascii="Aptos" w:hAnsi="Aptos"/>
          <w:lang w:val="en-GB"/>
        </w:rPr>
        <w:t xml:space="preserve">, </w:t>
      </w:r>
      <w:r w:rsidR="009E06A2" w:rsidRPr="009E06A2">
        <w:rPr>
          <w:rFonts w:ascii="Aptos" w:hAnsi="Aptos"/>
          <w:i/>
          <w:iCs/>
          <w:lang w:val="en-GB"/>
        </w:rPr>
        <w:t>10</w:t>
      </w:r>
      <w:r w:rsidR="009E06A2" w:rsidRPr="009E06A2">
        <w:rPr>
          <w:rFonts w:ascii="Aptos" w:hAnsi="Aptos"/>
          <w:lang w:val="en-GB"/>
        </w:rPr>
        <w:t>, 1247778. https://doi.org/10.3389/fmed.2023.1247778</w:t>
      </w:r>
    </w:p>
    <w:p w14:paraId="33F41B17" w14:textId="77777777" w:rsidR="009E06A2" w:rsidRPr="009E06A2" w:rsidRDefault="009E06A2" w:rsidP="009E06A2">
      <w:pPr>
        <w:pStyle w:val="Bibliografie"/>
        <w:rPr>
          <w:rFonts w:ascii="Aptos" w:hAnsi="Aptos"/>
          <w:lang w:val="en-GB"/>
        </w:rPr>
      </w:pPr>
      <w:r w:rsidRPr="009E06A2">
        <w:rPr>
          <w:rFonts w:ascii="Aptos" w:hAnsi="Aptos"/>
          <w:lang w:val="en-GB"/>
        </w:rPr>
        <w:t xml:space="preserve">Chen, X., Chen, R., Jin, R., &amp; Huang, Z. (2020). The role of CXCL chemokine family in the development and progression of gastric cancer. </w:t>
      </w:r>
      <w:r w:rsidRPr="009E06A2">
        <w:rPr>
          <w:rFonts w:ascii="Aptos" w:hAnsi="Aptos"/>
          <w:i/>
          <w:iCs/>
          <w:lang w:val="en-GB"/>
        </w:rPr>
        <w:t>International Journal of Clinical and Experimental Pathology</w:t>
      </w:r>
      <w:r w:rsidRPr="009E06A2">
        <w:rPr>
          <w:rFonts w:ascii="Aptos" w:hAnsi="Aptos"/>
          <w:lang w:val="en-GB"/>
        </w:rPr>
        <w:t xml:space="preserve">, </w:t>
      </w:r>
      <w:r w:rsidRPr="009E06A2">
        <w:rPr>
          <w:rFonts w:ascii="Aptos" w:hAnsi="Aptos"/>
          <w:i/>
          <w:iCs/>
          <w:lang w:val="en-GB"/>
        </w:rPr>
        <w:t>13</w:t>
      </w:r>
      <w:r w:rsidRPr="009E06A2">
        <w:rPr>
          <w:rFonts w:ascii="Aptos" w:hAnsi="Aptos"/>
          <w:lang w:val="en-GB"/>
        </w:rPr>
        <w:t>(3), 484-492.</w:t>
      </w:r>
    </w:p>
    <w:p w14:paraId="36C0132E" w14:textId="77777777" w:rsidR="009E06A2" w:rsidRPr="009E06A2" w:rsidRDefault="009E06A2" w:rsidP="009E06A2">
      <w:pPr>
        <w:pStyle w:val="Bibliografie"/>
        <w:rPr>
          <w:rFonts w:ascii="Aptos" w:hAnsi="Aptos"/>
          <w:lang w:val="en-GB"/>
        </w:rPr>
      </w:pPr>
      <w:r w:rsidRPr="009E06A2">
        <w:rPr>
          <w:rFonts w:ascii="Aptos" w:hAnsi="Aptos"/>
          <w:lang w:val="en-GB"/>
        </w:rPr>
        <w:t xml:space="preserve">Chen, Y., Li, H., Lai, L., Feng, Q., &amp; Shen, J. (2020). Identification of Common Differentially Expressed Genes and Potential Therapeutic Targets in Ulcerative Colitis and Rheumatoid Arthritis. </w:t>
      </w:r>
      <w:r w:rsidRPr="009E06A2">
        <w:rPr>
          <w:rFonts w:ascii="Aptos" w:hAnsi="Aptos"/>
          <w:i/>
          <w:iCs/>
          <w:lang w:val="en-GB"/>
        </w:rPr>
        <w:t>Frontiers in Genetics</w:t>
      </w:r>
      <w:r w:rsidRPr="009E06A2">
        <w:rPr>
          <w:rFonts w:ascii="Aptos" w:hAnsi="Aptos"/>
          <w:lang w:val="en-GB"/>
        </w:rPr>
        <w:t xml:space="preserve">, </w:t>
      </w:r>
      <w:r w:rsidRPr="009E06A2">
        <w:rPr>
          <w:rFonts w:ascii="Aptos" w:hAnsi="Aptos"/>
          <w:i/>
          <w:iCs/>
          <w:lang w:val="en-GB"/>
        </w:rPr>
        <w:t>11</w:t>
      </w:r>
      <w:r w:rsidRPr="009E06A2">
        <w:rPr>
          <w:rFonts w:ascii="Aptos" w:hAnsi="Aptos"/>
          <w:lang w:val="en-GB"/>
        </w:rPr>
        <w:t>, 572194. https://doi.org/10.3389/fgene.2020.572194</w:t>
      </w:r>
    </w:p>
    <w:p w14:paraId="01AC8CAE" w14:textId="77777777" w:rsidR="009E06A2" w:rsidRPr="009E06A2" w:rsidRDefault="009E06A2" w:rsidP="009E06A2">
      <w:pPr>
        <w:pStyle w:val="Bibliografie"/>
        <w:rPr>
          <w:rFonts w:ascii="Aptos" w:hAnsi="Aptos"/>
        </w:rPr>
      </w:pPr>
      <w:r w:rsidRPr="009E06A2">
        <w:rPr>
          <w:rFonts w:ascii="Aptos" w:hAnsi="Aptos"/>
          <w:lang w:val="en-GB"/>
        </w:rPr>
        <w:t xml:space="preserve">Gao, L., Ye, Z., Peng, S., Lei, P., Song, P., Li, Z., Zhou, L., Hua, Q., Cheng, L., Wei, H., Liu, J., &amp; Cai, Q. (2023). BCL2A1 is associated with </w:t>
      </w:r>
      <w:proofErr w:type="spellStart"/>
      <w:r w:rsidRPr="009E06A2">
        <w:rPr>
          <w:rFonts w:ascii="Aptos" w:hAnsi="Aptos"/>
          <w:lang w:val="en-GB"/>
        </w:rPr>
        <w:t>tumor</w:t>
      </w:r>
      <w:proofErr w:type="spellEnd"/>
      <w:r w:rsidRPr="009E06A2">
        <w:rPr>
          <w:rFonts w:ascii="Aptos" w:hAnsi="Aptos"/>
          <w:lang w:val="en-GB"/>
        </w:rPr>
        <w:t xml:space="preserve">-associated macrophages and </w:t>
      </w:r>
      <w:proofErr w:type="spellStart"/>
      <w:r w:rsidRPr="009E06A2">
        <w:rPr>
          <w:rFonts w:ascii="Aptos" w:hAnsi="Aptos"/>
          <w:lang w:val="en-GB"/>
        </w:rPr>
        <w:t>unfavorable</w:t>
      </w:r>
      <w:proofErr w:type="spellEnd"/>
      <w:r w:rsidRPr="009E06A2">
        <w:rPr>
          <w:rFonts w:ascii="Aptos" w:hAnsi="Aptos"/>
          <w:lang w:val="en-GB"/>
        </w:rPr>
        <w:t xml:space="preserve"> prognosis in human gliomas. </w:t>
      </w:r>
      <w:proofErr w:type="spellStart"/>
      <w:r w:rsidRPr="009E06A2">
        <w:rPr>
          <w:rFonts w:ascii="Aptos" w:hAnsi="Aptos"/>
          <w:i/>
          <w:iCs/>
        </w:rPr>
        <w:t>Aging</w:t>
      </w:r>
      <w:proofErr w:type="spellEnd"/>
      <w:r w:rsidRPr="009E06A2">
        <w:rPr>
          <w:rFonts w:ascii="Aptos" w:hAnsi="Aptos"/>
          <w:i/>
          <w:iCs/>
        </w:rPr>
        <w:t xml:space="preserve"> (</w:t>
      </w:r>
      <w:proofErr w:type="spellStart"/>
      <w:r w:rsidRPr="009E06A2">
        <w:rPr>
          <w:rFonts w:ascii="Aptos" w:hAnsi="Aptos"/>
          <w:i/>
          <w:iCs/>
        </w:rPr>
        <w:t>Albany</w:t>
      </w:r>
      <w:proofErr w:type="spellEnd"/>
      <w:r w:rsidRPr="009E06A2">
        <w:rPr>
          <w:rFonts w:ascii="Aptos" w:hAnsi="Aptos"/>
          <w:i/>
          <w:iCs/>
        </w:rPr>
        <w:t xml:space="preserve"> NY)</w:t>
      </w:r>
      <w:r w:rsidRPr="009E06A2">
        <w:rPr>
          <w:rFonts w:ascii="Aptos" w:hAnsi="Aptos"/>
        </w:rPr>
        <w:t xml:space="preserve">, </w:t>
      </w:r>
      <w:r w:rsidRPr="009E06A2">
        <w:rPr>
          <w:rFonts w:ascii="Aptos" w:hAnsi="Aptos"/>
          <w:i/>
          <w:iCs/>
        </w:rPr>
        <w:t>15</w:t>
      </w:r>
      <w:r w:rsidRPr="009E06A2">
        <w:rPr>
          <w:rFonts w:ascii="Aptos" w:hAnsi="Aptos"/>
        </w:rPr>
        <w:t>(20), 11611-11638. https://doi.org/10.18632/aging.205149</w:t>
      </w:r>
    </w:p>
    <w:p w14:paraId="539D8ED4" w14:textId="77777777" w:rsidR="009E06A2" w:rsidRPr="009E06A2" w:rsidRDefault="009E06A2" w:rsidP="009E06A2">
      <w:pPr>
        <w:pStyle w:val="Bibliografie"/>
        <w:rPr>
          <w:rFonts w:ascii="Aptos" w:hAnsi="Aptos"/>
          <w:lang w:val="en-GB"/>
        </w:rPr>
      </w:pPr>
      <w:proofErr w:type="spellStart"/>
      <w:r w:rsidRPr="009E06A2">
        <w:rPr>
          <w:rFonts w:ascii="Aptos" w:hAnsi="Aptos"/>
        </w:rPr>
        <w:lastRenderedPageBreak/>
        <w:t>Khodadust</w:t>
      </w:r>
      <w:proofErr w:type="spellEnd"/>
      <w:r w:rsidRPr="009E06A2">
        <w:rPr>
          <w:rFonts w:ascii="Aptos" w:hAnsi="Aptos"/>
        </w:rPr>
        <w:t xml:space="preserve">, F., </w:t>
      </w:r>
      <w:proofErr w:type="spellStart"/>
      <w:r w:rsidRPr="009E06A2">
        <w:rPr>
          <w:rFonts w:ascii="Aptos" w:hAnsi="Aptos"/>
        </w:rPr>
        <w:t>Ezdoglian</w:t>
      </w:r>
      <w:proofErr w:type="spellEnd"/>
      <w:r w:rsidRPr="009E06A2">
        <w:rPr>
          <w:rFonts w:ascii="Aptos" w:hAnsi="Aptos"/>
        </w:rPr>
        <w:t xml:space="preserve">, A., </w:t>
      </w:r>
      <w:proofErr w:type="spellStart"/>
      <w:r w:rsidRPr="009E06A2">
        <w:rPr>
          <w:rFonts w:ascii="Aptos" w:hAnsi="Aptos"/>
        </w:rPr>
        <w:t>Steinz</w:t>
      </w:r>
      <w:proofErr w:type="spellEnd"/>
      <w:r w:rsidRPr="009E06A2">
        <w:rPr>
          <w:rFonts w:ascii="Aptos" w:hAnsi="Aptos"/>
        </w:rPr>
        <w:t xml:space="preserve">, M. M., van Beijnum, J. R., </w:t>
      </w:r>
      <w:proofErr w:type="spellStart"/>
      <w:r w:rsidRPr="009E06A2">
        <w:rPr>
          <w:rFonts w:ascii="Aptos" w:hAnsi="Aptos"/>
        </w:rPr>
        <w:t>Zwezerijnen</w:t>
      </w:r>
      <w:proofErr w:type="spellEnd"/>
      <w:r w:rsidRPr="009E06A2">
        <w:rPr>
          <w:rFonts w:ascii="Aptos" w:hAnsi="Aptos"/>
        </w:rPr>
        <w:t xml:space="preserve">, G. J. C., Jansen, G., Tas, S. W., &amp; van der Laken, C. J. (2022). </w:t>
      </w:r>
      <w:r w:rsidRPr="009E06A2">
        <w:rPr>
          <w:rFonts w:ascii="Aptos" w:hAnsi="Aptos"/>
          <w:lang w:val="en-GB"/>
        </w:rPr>
        <w:t xml:space="preserve">Systematic Review: Targeted Molecular Imaging of Angiogenesis and Its Mediators in Rheumatoid Arthritis. </w:t>
      </w:r>
      <w:r w:rsidRPr="009E06A2">
        <w:rPr>
          <w:rFonts w:ascii="Aptos" w:hAnsi="Aptos"/>
          <w:i/>
          <w:iCs/>
          <w:lang w:val="en-GB"/>
        </w:rPr>
        <w:t>International Journal of Molecular Sciences</w:t>
      </w:r>
      <w:r w:rsidRPr="009E06A2">
        <w:rPr>
          <w:rFonts w:ascii="Aptos" w:hAnsi="Aptos"/>
          <w:lang w:val="en-GB"/>
        </w:rPr>
        <w:t xml:space="preserve">, </w:t>
      </w:r>
      <w:r w:rsidRPr="009E06A2">
        <w:rPr>
          <w:rFonts w:ascii="Aptos" w:hAnsi="Aptos"/>
          <w:i/>
          <w:iCs/>
          <w:lang w:val="en-GB"/>
        </w:rPr>
        <w:t>23</w:t>
      </w:r>
      <w:r w:rsidRPr="009E06A2">
        <w:rPr>
          <w:rFonts w:ascii="Aptos" w:hAnsi="Aptos"/>
          <w:lang w:val="en-GB"/>
        </w:rPr>
        <w:t>(13), Article 13. https://doi.org/10.3390/ijms23137071</w:t>
      </w:r>
    </w:p>
    <w:p w14:paraId="5E7D4DE2" w14:textId="77777777" w:rsidR="009E06A2" w:rsidRPr="009E06A2" w:rsidRDefault="009E06A2" w:rsidP="009E06A2">
      <w:pPr>
        <w:pStyle w:val="Bibliografie"/>
        <w:rPr>
          <w:rFonts w:ascii="Aptos" w:hAnsi="Aptos"/>
          <w:lang w:val="en-GB"/>
        </w:rPr>
      </w:pPr>
      <w:r w:rsidRPr="009E06A2">
        <w:rPr>
          <w:rFonts w:ascii="Aptos" w:hAnsi="Aptos"/>
          <w:lang w:val="en-GB"/>
        </w:rPr>
        <w:t xml:space="preserve">Kovács, O. T., Tóth, E., </w:t>
      </w:r>
      <w:proofErr w:type="spellStart"/>
      <w:r w:rsidRPr="009E06A2">
        <w:rPr>
          <w:rFonts w:ascii="Aptos" w:hAnsi="Aptos"/>
          <w:lang w:val="en-GB"/>
        </w:rPr>
        <w:t>Ozohanics</w:t>
      </w:r>
      <w:proofErr w:type="spellEnd"/>
      <w:r w:rsidRPr="009E06A2">
        <w:rPr>
          <w:rFonts w:ascii="Aptos" w:hAnsi="Aptos"/>
          <w:lang w:val="en-GB"/>
        </w:rPr>
        <w:t xml:space="preserve">, O., Soltész-Katona, E., Marton, N., Buzás, E. I., Hunyady, L., Drahos, L., Turu, G., &amp; Nagy, G. (2022). Proteomic Changes of Osteoclast Differentiation in Rheumatoid and Psoriatic Arthritis Reveal Functional Differences. </w:t>
      </w:r>
      <w:r w:rsidRPr="009E06A2">
        <w:rPr>
          <w:rFonts w:ascii="Aptos" w:hAnsi="Aptos"/>
          <w:i/>
          <w:iCs/>
          <w:lang w:val="en-GB"/>
        </w:rPr>
        <w:t>Frontiers in Immunology</w:t>
      </w:r>
      <w:r w:rsidRPr="009E06A2">
        <w:rPr>
          <w:rFonts w:ascii="Aptos" w:hAnsi="Aptos"/>
          <w:lang w:val="en-GB"/>
        </w:rPr>
        <w:t xml:space="preserve">, </w:t>
      </w:r>
      <w:r w:rsidRPr="009E06A2">
        <w:rPr>
          <w:rFonts w:ascii="Aptos" w:hAnsi="Aptos"/>
          <w:i/>
          <w:iCs/>
          <w:lang w:val="en-GB"/>
        </w:rPr>
        <w:t>13</w:t>
      </w:r>
      <w:r w:rsidRPr="009E06A2">
        <w:rPr>
          <w:rFonts w:ascii="Aptos" w:hAnsi="Aptos"/>
          <w:lang w:val="en-GB"/>
        </w:rPr>
        <w:t>, 892970. https://doi.org/10.3389/fimmu.2022.892970</w:t>
      </w:r>
    </w:p>
    <w:p w14:paraId="0821B30B" w14:textId="77777777" w:rsidR="009E06A2" w:rsidRPr="009E06A2" w:rsidRDefault="009E06A2" w:rsidP="009E06A2">
      <w:pPr>
        <w:pStyle w:val="Bibliografie"/>
        <w:rPr>
          <w:rFonts w:ascii="Aptos" w:hAnsi="Aptos"/>
          <w:lang w:val="en-GB"/>
        </w:rPr>
      </w:pPr>
      <w:r w:rsidRPr="009E06A2">
        <w:rPr>
          <w:rFonts w:ascii="Aptos" w:hAnsi="Aptos"/>
          <w:lang w:val="en-GB"/>
        </w:rPr>
        <w:t xml:space="preserve">Oikawa, D., Shimizu, K., &amp; Tokunaga, F. (2023). Pleiotropic Roles of a KEAP1-Associated </w:t>
      </w:r>
      <w:proofErr w:type="spellStart"/>
      <w:r w:rsidRPr="009E06A2">
        <w:rPr>
          <w:rFonts w:ascii="Aptos" w:hAnsi="Aptos"/>
          <w:lang w:val="en-GB"/>
        </w:rPr>
        <w:t>Deubiquitinase</w:t>
      </w:r>
      <w:proofErr w:type="spellEnd"/>
      <w:r w:rsidRPr="009E06A2">
        <w:rPr>
          <w:rFonts w:ascii="Aptos" w:hAnsi="Aptos"/>
          <w:lang w:val="en-GB"/>
        </w:rPr>
        <w:t xml:space="preserve">, OTUD1. </w:t>
      </w:r>
      <w:r w:rsidRPr="009E06A2">
        <w:rPr>
          <w:rFonts w:ascii="Aptos" w:hAnsi="Aptos"/>
          <w:i/>
          <w:iCs/>
          <w:lang w:val="en-GB"/>
        </w:rPr>
        <w:t>Antioxidants</w:t>
      </w:r>
      <w:r w:rsidRPr="009E06A2">
        <w:rPr>
          <w:rFonts w:ascii="Aptos" w:hAnsi="Aptos"/>
          <w:lang w:val="en-GB"/>
        </w:rPr>
        <w:t xml:space="preserve">, </w:t>
      </w:r>
      <w:r w:rsidRPr="009E06A2">
        <w:rPr>
          <w:rFonts w:ascii="Aptos" w:hAnsi="Aptos"/>
          <w:i/>
          <w:iCs/>
          <w:lang w:val="en-GB"/>
        </w:rPr>
        <w:t>12</w:t>
      </w:r>
      <w:r w:rsidRPr="009E06A2">
        <w:rPr>
          <w:rFonts w:ascii="Aptos" w:hAnsi="Aptos"/>
          <w:lang w:val="en-GB"/>
        </w:rPr>
        <w:t>(2), 350. https://doi.org/10.3390/antiox12020350</w:t>
      </w:r>
    </w:p>
    <w:p w14:paraId="0FDE5B9B" w14:textId="77777777" w:rsidR="009E06A2" w:rsidRPr="009E06A2" w:rsidRDefault="009E06A2" w:rsidP="009E06A2">
      <w:pPr>
        <w:pStyle w:val="Bibliografie"/>
        <w:rPr>
          <w:rFonts w:ascii="Aptos" w:hAnsi="Aptos"/>
          <w:lang w:val="en-GB"/>
        </w:rPr>
      </w:pPr>
      <w:r w:rsidRPr="009E06A2">
        <w:rPr>
          <w:rFonts w:ascii="Aptos" w:hAnsi="Aptos"/>
          <w:lang w:val="en-GB"/>
        </w:rPr>
        <w:t>Paradowska-</w:t>
      </w:r>
      <w:proofErr w:type="spellStart"/>
      <w:r w:rsidRPr="009E06A2">
        <w:rPr>
          <w:rFonts w:ascii="Aptos" w:hAnsi="Aptos"/>
          <w:lang w:val="en-GB"/>
        </w:rPr>
        <w:t>Gorycka</w:t>
      </w:r>
      <w:proofErr w:type="spellEnd"/>
      <w:r w:rsidRPr="009E06A2">
        <w:rPr>
          <w:rFonts w:ascii="Aptos" w:hAnsi="Aptos"/>
          <w:lang w:val="en-GB"/>
        </w:rPr>
        <w:t>, A., Wajda, A., Romanowska-</w:t>
      </w:r>
      <w:proofErr w:type="spellStart"/>
      <w:r w:rsidRPr="009E06A2">
        <w:rPr>
          <w:rFonts w:ascii="Aptos" w:hAnsi="Aptos"/>
          <w:lang w:val="en-GB"/>
        </w:rPr>
        <w:t>Próchnicka</w:t>
      </w:r>
      <w:proofErr w:type="spellEnd"/>
      <w:r w:rsidRPr="009E06A2">
        <w:rPr>
          <w:rFonts w:ascii="Aptos" w:hAnsi="Aptos"/>
          <w:lang w:val="en-GB"/>
        </w:rPr>
        <w:t>, K., Walczuk, E., Kuca-</w:t>
      </w:r>
      <w:proofErr w:type="spellStart"/>
      <w:r w:rsidRPr="009E06A2">
        <w:rPr>
          <w:rFonts w:ascii="Aptos" w:hAnsi="Aptos"/>
          <w:lang w:val="en-GB"/>
        </w:rPr>
        <w:t>Warnawin</w:t>
      </w:r>
      <w:proofErr w:type="spellEnd"/>
      <w:r w:rsidRPr="009E06A2">
        <w:rPr>
          <w:rFonts w:ascii="Aptos" w:hAnsi="Aptos"/>
          <w:lang w:val="en-GB"/>
        </w:rPr>
        <w:t xml:space="preserve">, E., </w:t>
      </w:r>
      <w:proofErr w:type="spellStart"/>
      <w:r w:rsidRPr="009E06A2">
        <w:rPr>
          <w:rFonts w:ascii="Aptos" w:hAnsi="Aptos"/>
          <w:lang w:val="en-GB"/>
        </w:rPr>
        <w:t>Kmiolek</w:t>
      </w:r>
      <w:proofErr w:type="spellEnd"/>
      <w:r w:rsidRPr="009E06A2">
        <w:rPr>
          <w:rFonts w:ascii="Aptos" w:hAnsi="Aptos"/>
          <w:lang w:val="en-GB"/>
        </w:rPr>
        <w:t xml:space="preserve">, T., </w:t>
      </w:r>
      <w:proofErr w:type="spellStart"/>
      <w:r w:rsidRPr="009E06A2">
        <w:rPr>
          <w:rFonts w:ascii="Aptos" w:hAnsi="Aptos"/>
          <w:lang w:val="en-GB"/>
        </w:rPr>
        <w:t>Stypinska</w:t>
      </w:r>
      <w:proofErr w:type="spellEnd"/>
      <w:r w:rsidRPr="009E06A2">
        <w:rPr>
          <w:rFonts w:ascii="Aptos" w:hAnsi="Aptos"/>
          <w:lang w:val="en-GB"/>
        </w:rPr>
        <w:t xml:space="preserve">, B., </w:t>
      </w:r>
      <w:proofErr w:type="spellStart"/>
      <w:r w:rsidRPr="009E06A2">
        <w:rPr>
          <w:rFonts w:ascii="Aptos" w:hAnsi="Aptos"/>
          <w:lang w:val="en-GB"/>
        </w:rPr>
        <w:t>Rzeszotarska</w:t>
      </w:r>
      <w:proofErr w:type="spellEnd"/>
      <w:r w:rsidRPr="009E06A2">
        <w:rPr>
          <w:rFonts w:ascii="Aptos" w:hAnsi="Aptos"/>
          <w:lang w:val="en-GB"/>
        </w:rPr>
        <w:t xml:space="preserve">, E., Majewski, D., Jagodzinski, P. P., &amp; Pawlik, A. (2020). Th17/Treg-Related Transcriptional Factor Expression and Cytokine Profile in Patients With Rheumatoid Arthritis. </w:t>
      </w:r>
      <w:r w:rsidRPr="009E06A2">
        <w:rPr>
          <w:rFonts w:ascii="Aptos" w:hAnsi="Aptos"/>
          <w:i/>
          <w:iCs/>
          <w:lang w:val="en-GB"/>
        </w:rPr>
        <w:t>Frontiers in Immunology</w:t>
      </w:r>
      <w:r w:rsidRPr="009E06A2">
        <w:rPr>
          <w:rFonts w:ascii="Aptos" w:hAnsi="Aptos"/>
          <w:lang w:val="en-GB"/>
        </w:rPr>
        <w:t xml:space="preserve">, </w:t>
      </w:r>
      <w:r w:rsidRPr="009E06A2">
        <w:rPr>
          <w:rFonts w:ascii="Aptos" w:hAnsi="Aptos"/>
          <w:i/>
          <w:iCs/>
          <w:lang w:val="en-GB"/>
        </w:rPr>
        <w:t>11</w:t>
      </w:r>
      <w:r w:rsidRPr="009E06A2">
        <w:rPr>
          <w:rFonts w:ascii="Aptos" w:hAnsi="Aptos"/>
          <w:lang w:val="en-GB"/>
        </w:rPr>
        <w:t>, 572858. https://doi.org/10.3389/fimmu.2020.572858</w:t>
      </w:r>
    </w:p>
    <w:p w14:paraId="606CFC09" w14:textId="77777777" w:rsidR="009E06A2" w:rsidRPr="009E06A2" w:rsidRDefault="009E06A2" w:rsidP="009E06A2">
      <w:pPr>
        <w:pStyle w:val="Bibliografie"/>
        <w:rPr>
          <w:rFonts w:ascii="Aptos" w:hAnsi="Aptos"/>
          <w:lang w:val="en-GB"/>
        </w:rPr>
      </w:pPr>
      <w:r w:rsidRPr="009E06A2">
        <w:rPr>
          <w:rFonts w:ascii="Aptos" w:hAnsi="Aptos"/>
          <w:lang w:val="en-GB"/>
        </w:rPr>
        <w:t>Rahimi-</w:t>
      </w:r>
      <w:proofErr w:type="spellStart"/>
      <w:r w:rsidRPr="009E06A2">
        <w:rPr>
          <w:rFonts w:ascii="Aptos" w:hAnsi="Aptos"/>
          <w:lang w:val="en-GB"/>
        </w:rPr>
        <w:t>Khorashad</w:t>
      </w:r>
      <w:proofErr w:type="spellEnd"/>
      <w:r w:rsidRPr="009E06A2">
        <w:rPr>
          <w:rFonts w:ascii="Aptos" w:hAnsi="Aptos"/>
          <w:lang w:val="en-GB"/>
        </w:rPr>
        <w:t xml:space="preserve">, M., </w:t>
      </w:r>
      <w:proofErr w:type="spellStart"/>
      <w:r w:rsidRPr="009E06A2">
        <w:rPr>
          <w:rFonts w:ascii="Aptos" w:hAnsi="Aptos"/>
          <w:lang w:val="en-GB"/>
        </w:rPr>
        <w:t>Ghoryani</w:t>
      </w:r>
      <w:proofErr w:type="spellEnd"/>
      <w:r w:rsidRPr="009E06A2">
        <w:rPr>
          <w:rFonts w:ascii="Aptos" w:hAnsi="Aptos"/>
          <w:lang w:val="en-GB"/>
        </w:rPr>
        <w:t xml:space="preserve">, M., </w:t>
      </w:r>
      <w:proofErr w:type="spellStart"/>
      <w:r w:rsidRPr="009E06A2">
        <w:rPr>
          <w:rFonts w:ascii="Aptos" w:hAnsi="Aptos"/>
          <w:lang w:val="en-GB"/>
        </w:rPr>
        <w:t>Shabgah</w:t>
      </w:r>
      <w:proofErr w:type="spellEnd"/>
      <w:r w:rsidRPr="009E06A2">
        <w:rPr>
          <w:rFonts w:ascii="Aptos" w:hAnsi="Aptos"/>
          <w:lang w:val="en-GB"/>
        </w:rPr>
        <w:t xml:space="preserve">, A. G., Shariati-Sarabi, Z., </w:t>
      </w:r>
      <w:proofErr w:type="spellStart"/>
      <w:r w:rsidRPr="009E06A2">
        <w:rPr>
          <w:rFonts w:ascii="Aptos" w:hAnsi="Aptos"/>
          <w:lang w:val="en-GB"/>
        </w:rPr>
        <w:t>Tavakkol</w:t>
      </w:r>
      <w:proofErr w:type="spellEnd"/>
      <w:r w:rsidRPr="009E06A2">
        <w:rPr>
          <w:rFonts w:ascii="Aptos" w:hAnsi="Aptos"/>
          <w:lang w:val="en-GB"/>
        </w:rPr>
        <w:t xml:space="preserve">-Afshari, J., &amp; Mohammadi, M. (2023). The Effects of Mesenchymal Stem Cells on the Gene Expression of TGF-beta and IFN-gamma in Patients with Rheumatoid Arthritis. </w:t>
      </w:r>
      <w:r w:rsidRPr="009E06A2">
        <w:rPr>
          <w:rFonts w:ascii="Aptos" w:hAnsi="Aptos"/>
          <w:i/>
          <w:iCs/>
          <w:lang w:val="en-GB"/>
        </w:rPr>
        <w:t>Iranian Journal of Allergy, Asthma and Immunology</w:t>
      </w:r>
      <w:r w:rsidRPr="009E06A2">
        <w:rPr>
          <w:rFonts w:ascii="Aptos" w:hAnsi="Aptos"/>
          <w:lang w:val="en-GB"/>
        </w:rPr>
        <w:t>. https://doi.org/10.18502/ijaai.v22i2.12679</w:t>
      </w:r>
    </w:p>
    <w:p w14:paraId="500DBDFC" w14:textId="77777777" w:rsidR="009E06A2" w:rsidRPr="009E06A2" w:rsidRDefault="009E06A2" w:rsidP="009E06A2">
      <w:pPr>
        <w:pStyle w:val="Bibliografie"/>
        <w:rPr>
          <w:rFonts w:ascii="Aptos" w:hAnsi="Aptos"/>
          <w:lang w:val="en-GB"/>
        </w:rPr>
      </w:pPr>
      <w:r w:rsidRPr="009E06A2">
        <w:rPr>
          <w:rFonts w:ascii="Aptos" w:hAnsi="Aptos"/>
          <w:lang w:val="en-GB"/>
        </w:rPr>
        <w:t xml:space="preserve">Wehr, P., Purvis, H., Law, S.-C., &amp; Thomas, R. (2019). Dendritic cells, T cells and their interaction in rheumatoid arthritis. </w:t>
      </w:r>
      <w:r w:rsidRPr="009E06A2">
        <w:rPr>
          <w:rFonts w:ascii="Aptos" w:hAnsi="Aptos"/>
          <w:i/>
          <w:iCs/>
          <w:lang w:val="en-GB"/>
        </w:rPr>
        <w:t>Clinical and Experimental Immunology</w:t>
      </w:r>
      <w:r w:rsidRPr="009E06A2">
        <w:rPr>
          <w:rFonts w:ascii="Aptos" w:hAnsi="Aptos"/>
          <w:lang w:val="en-GB"/>
        </w:rPr>
        <w:t xml:space="preserve">, </w:t>
      </w:r>
      <w:r w:rsidRPr="009E06A2">
        <w:rPr>
          <w:rFonts w:ascii="Aptos" w:hAnsi="Aptos"/>
          <w:i/>
          <w:iCs/>
          <w:lang w:val="en-GB"/>
        </w:rPr>
        <w:t>196</w:t>
      </w:r>
      <w:r w:rsidRPr="009E06A2">
        <w:rPr>
          <w:rFonts w:ascii="Aptos" w:hAnsi="Aptos"/>
          <w:lang w:val="en-GB"/>
        </w:rPr>
        <w:t>(1), 12-27. https://doi.org/10.1111/cei.13256</w:t>
      </w:r>
    </w:p>
    <w:p w14:paraId="3A3E48C9" w14:textId="77777777" w:rsidR="009E06A2" w:rsidRPr="009E06A2" w:rsidRDefault="009E06A2" w:rsidP="009E06A2">
      <w:pPr>
        <w:pStyle w:val="Bibliografie"/>
        <w:rPr>
          <w:rFonts w:ascii="Aptos" w:hAnsi="Aptos"/>
        </w:rPr>
      </w:pPr>
      <w:r w:rsidRPr="009E06A2">
        <w:rPr>
          <w:rFonts w:ascii="Aptos" w:hAnsi="Aptos"/>
          <w:lang w:val="en-GB"/>
        </w:rPr>
        <w:t xml:space="preserve">Zhu, S., Liu, M., Bennett, S., Wang, Z., Pfleger, K. D. G., &amp; Xu, J. (2021). The molecular structure and role of CCL2 (MCP-1) and C-C chemokine receptor CCR2 in skeletal biology and </w:t>
      </w:r>
      <w:r w:rsidRPr="009E06A2">
        <w:rPr>
          <w:rFonts w:ascii="Aptos" w:hAnsi="Aptos"/>
          <w:lang w:val="en-GB"/>
        </w:rPr>
        <w:lastRenderedPageBreak/>
        <w:t xml:space="preserve">diseases. </w:t>
      </w:r>
      <w:r w:rsidRPr="009E06A2">
        <w:rPr>
          <w:rFonts w:ascii="Aptos" w:hAnsi="Aptos"/>
          <w:i/>
          <w:iCs/>
        </w:rPr>
        <w:t xml:space="preserve">Journal of Cellular </w:t>
      </w:r>
      <w:proofErr w:type="spellStart"/>
      <w:r w:rsidRPr="009E06A2">
        <w:rPr>
          <w:rFonts w:ascii="Aptos" w:hAnsi="Aptos"/>
          <w:i/>
          <w:iCs/>
        </w:rPr>
        <w:t>Physiology</w:t>
      </w:r>
      <w:proofErr w:type="spellEnd"/>
      <w:r w:rsidRPr="009E06A2">
        <w:rPr>
          <w:rFonts w:ascii="Aptos" w:hAnsi="Aptos"/>
        </w:rPr>
        <w:t xml:space="preserve">, </w:t>
      </w:r>
      <w:r w:rsidRPr="009E06A2">
        <w:rPr>
          <w:rFonts w:ascii="Aptos" w:hAnsi="Aptos"/>
          <w:i/>
          <w:iCs/>
        </w:rPr>
        <w:t>236</w:t>
      </w:r>
      <w:r w:rsidRPr="009E06A2">
        <w:rPr>
          <w:rFonts w:ascii="Aptos" w:hAnsi="Aptos"/>
        </w:rPr>
        <w:t>(10), 7211-7222. https://doi.org/10.1002/jcp.30375</w:t>
      </w:r>
    </w:p>
    <w:p w14:paraId="35F31135" w14:textId="3184FA07" w:rsidR="00953871" w:rsidRDefault="00240B48">
      <w:pPr>
        <w:rPr>
          <w:lang w:val="en-GB"/>
        </w:rPr>
      </w:pPr>
      <w:r>
        <w:rPr>
          <w:lang w:val="en-GB"/>
        </w:rPr>
        <w:fldChar w:fldCharType="end"/>
      </w:r>
    </w:p>
    <w:p w14:paraId="055F2B51" w14:textId="77777777" w:rsidR="00953871" w:rsidRDefault="00953871">
      <w:pPr>
        <w:rPr>
          <w:lang w:val="en-GB"/>
        </w:rPr>
      </w:pPr>
    </w:p>
    <w:p w14:paraId="34BE3614" w14:textId="77777777" w:rsidR="00953871" w:rsidRDefault="00953871">
      <w:pPr>
        <w:rPr>
          <w:lang w:val="en-GB"/>
        </w:rPr>
      </w:pPr>
    </w:p>
    <w:p w14:paraId="6B0E3AAD" w14:textId="77777777" w:rsidR="00953871" w:rsidRDefault="00953871">
      <w:pPr>
        <w:rPr>
          <w:lang w:val="en-GB"/>
        </w:rPr>
      </w:pPr>
    </w:p>
    <w:p w14:paraId="66C45861" w14:textId="57E556AA" w:rsidR="00953871" w:rsidRDefault="00953871">
      <w:pPr>
        <w:rPr>
          <w:lang w:val="en-GB"/>
        </w:rPr>
      </w:pPr>
      <w:r>
        <w:rPr>
          <w:lang w:val="en-GB"/>
        </w:rPr>
        <w:br w:type="page"/>
      </w:r>
    </w:p>
    <w:p w14:paraId="255FDB26" w14:textId="77777777" w:rsidR="008E71DE" w:rsidRDefault="008E71DE">
      <w:pPr>
        <w:rPr>
          <w:lang w:val="en-GB"/>
        </w:rPr>
      </w:pPr>
    </w:p>
    <w:p w14:paraId="5E253A47" w14:textId="77777777" w:rsidR="006D13B2" w:rsidRPr="008E71DE" w:rsidRDefault="006D13B2">
      <w:pPr>
        <w:rPr>
          <w:lang w:val="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22"/>
        <w:gridCol w:w="991"/>
        <w:gridCol w:w="4259"/>
      </w:tblGrid>
      <w:tr w:rsidR="006D13B2" w:rsidRPr="006D13B2" w14:paraId="30E94481" w14:textId="77777777" w:rsidTr="006D13B2">
        <w:trPr>
          <w:tblHeader/>
          <w:tblCellSpacing w:w="15" w:type="dxa"/>
        </w:trPr>
        <w:tc>
          <w:tcPr>
            <w:tcW w:w="0" w:type="auto"/>
            <w:vAlign w:val="center"/>
            <w:hideMark/>
          </w:tcPr>
          <w:p w14:paraId="2E2874DC" w14:textId="77777777" w:rsidR="006D13B2" w:rsidRPr="006D13B2" w:rsidRDefault="006D13B2" w:rsidP="006D13B2">
            <w:pPr>
              <w:rPr>
                <w:b/>
                <w:bCs/>
                <w:lang w:val="en-GB"/>
              </w:rPr>
            </w:pPr>
            <w:r w:rsidRPr="006D13B2">
              <w:rPr>
                <w:b/>
                <w:bCs/>
                <w:lang w:val="en-GB"/>
              </w:rPr>
              <w:t>Pathway Name</w:t>
            </w:r>
          </w:p>
        </w:tc>
        <w:tc>
          <w:tcPr>
            <w:tcW w:w="0" w:type="auto"/>
            <w:vAlign w:val="center"/>
            <w:hideMark/>
          </w:tcPr>
          <w:p w14:paraId="6117E653" w14:textId="77777777" w:rsidR="006D13B2" w:rsidRPr="006D13B2" w:rsidRDefault="006D13B2" w:rsidP="006D13B2">
            <w:pPr>
              <w:rPr>
                <w:b/>
                <w:bCs/>
                <w:lang w:val="en-GB"/>
              </w:rPr>
            </w:pPr>
            <w:r w:rsidRPr="006D13B2">
              <w:rPr>
                <w:b/>
                <w:bCs/>
                <w:lang w:val="en-GB"/>
              </w:rPr>
              <w:t>KEGG ID</w:t>
            </w:r>
          </w:p>
        </w:tc>
        <w:tc>
          <w:tcPr>
            <w:tcW w:w="0" w:type="auto"/>
            <w:vAlign w:val="center"/>
            <w:hideMark/>
          </w:tcPr>
          <w:p w14:paraId="6CEBE627" w14:textId="77777777" w:rsidR="006D13B2" w:rsidRPr="006D13B2" w:rsidRDefault="006D13B2" w:rsidP="006D13B2">
            <w:pPr>
              <w:rPr>
                <w:b/>
                <w:bCs/>
                <w:lang w:val="en-GB"/>
              </w:rPr>
            </w:pPr>
            <w:r w:rsidRPr="006D13B2">
              <w:rPr>
                <w:b/>
                <w:bCs/>
                <w:lang w:val="en-GB"/>
              </w:rPr>
              <w:t>Why relevant to RA?</w:t>
            </w:r>
          </w:p>
        </w:tc>
      </w:tr>
      <w:tr w:rsidR="006D13B2" w:rsidRPr="006D13B2" w14:paraId="29C6E86B" w14:textId="77777777" w:rsidTr="006D13B2">
        <w:trPr>
          <w:tblCellSpacing w:w="15" w:type="dxa"/>
        </w:trPr>
        <w:tc>
          <w:tcPr>
            <w:tcW w:w="0" w:type="auto"/>
            <w:vAlign w:val="center"/>
            <w:hideMark/>
          </w:tcPr>
          <w:p w14:paraId="7FF5D6B6" w14:textId="77777777" w:rsidR="006D13B2" w:rsidRPr="006D13B2" w:rsidRDefault="006D13B2" w:rsidP="006D13B2">
            <w:pPr>
              <w:rPr>
                <w:lang w:val="en-GB"/>
              </w:rPr>
            </w:pPr>
            <w:r w:rsidRPr="006D13B2">
              <w:rPr>
                <w:b/>
                <w:bCs/>
                <w:lang w:val="en-GB"/>
              </w:rPr>
              <w:t>Rheumatoid arthritis</w:t>
            </w:r>
          </w:p>
        </w:tc>
        <w:tc>
          <w:tcPr>
            <w:tcW w:w="0" w:type="auto"/>
            <w:vAlign w:val="center"/>
            <w:hideMark/>
          </w:tcPr>
          <w:p w14:paraId="153AF9C2" w14:textId="77777777" w:rsidR="006D13B2" w:rsidRPr="006D13B2" w:rsidRDefault="006D13B2" w:rsidP="006D13B2">
            <w:pPr>
              <w:rPr>
                <w:lang w:val="en-GB"/>
              </w:rPr>
            </w:pPr>
            <w:r w:rsidRPr="006D13B2">
              <w:rPr>
                <w:lang w:val="en-GB"/>
              </w:rPr>
              <w:t>hsa05323</w:t>
            </w:r>
          </w:p>
        </w:tc>
        <w:tc>
          <w:tcPr>
            <w:tcW w:w="0" w:type="auto"/>
            <w:vAlign w:val="center"/>
            <w:hideMark/>
          </w:tcPr>
          <w:p w14:paraId="128C41D9" w14:textId="77777777" w:rsidR="006D13B2" w:rsidRPr="006D13B2" w:rsidRDefault="006D13B2" w:rsidP="006D13B2">
            <w:pPr>
              <w:rPr>
                <w:lang w:val="en-GB"/>
              </w:rPr>
            </w:pPr>
            <w:r w:rsidRPr="006D13B2">
              <w:rPr>
                <w:lang w:val="en-GB"/>
              </w:rPr>
              <w:t>Directly the RA disease pathway</w:t>
            </w:r>
          </w:p>
        </w:tc>
      </w:tr>
      <w:tr w:rsidR="006D13B2" w:rsidRPr="006D13B2" w14:paraId="0F11C45E" w14:textId="77777777" w:rsidTr="006D13B2">
        <w:trPr>
          <w:tblCellSpacing w:w="15" w:type="dxa"/>
        </w:trPr>
        <w:tc>
          <w:tcPr>
            <w:tcW w:w="0" w:type="auto"/>
            <w:vAlign w:val="center"/>
            <w:hideMark/>
          </w:tcPr>
          <w:p w14:paraId="4ECF0864" w14:textId="77777777" w:rsidR="006D13B2" w:rsidRPr="006D13B2" w:rsidRDefault="006D13B2" w:rsidP="006D13B2">
            <w:pPr>
              <w:rPr>
                <w:lang w:val="en-GB"/>
              </w:rPr>
            </w:pPr>
            <w:r w:rsidRPr="006D13B2">
              <w:rPr>
                <w:b/>
                <w:bCs/>
                <w:lang w:val="en-GB"/>
              </w:rPr>
              <w:t>Cytokine-cytokine receptor interaction</w:t>
            </w:r>
          </w:p>
        </w:tc>
        <w:tc>
          <w:tcPr>
            <w:tcW w:w="0" w:type="auto"/>
            <w:vAlign w:val="center"/>
            <w:hideMark/>
          </w:tcPr>
          <w:p w14:paraId="7781D504" w14:textId="77777777" w:rsidR="006D13B2" w:rsidRPr="006D13B2" w:rsidRDefault="006D13B2" w:rsidP="006D13B2">
            <w:pPr>
              <w:rPr>
                <w:lang w:val="en-GB"/>
              </w:rPr>
            </w:pPr>
            <w:r w:rsidRPr="006D13B2">
              <w:rPr>
                <w:lang w:val="en-GB"/>
              </w:rPr>
              <w:t>hsa04060</w:t>
            </w:r>
          </w:p>
        </w:tc>
        <w:tc>
          <w:tcPr>
            <w:tcW w:w="0" w:type="auto"/>
            <w:vAlign w:val="center"/>
            <w:hideMark/>
          </w:tcPr>
          <w:p w14:paraId="4AD601D9" w14:textId="77777777" w:rsidR="006D13B2" w:rsidRPr="006D13B2" w:rsidRDefault="006D13B2" w:rsidP="006D13B2">
            <w:pPr>
              <w:rPr>
                <w:lang w:val="en-GB"/>
              </w:rPr>
            </w:pPr>
            <w:r w:rsidRPr="006D13B2">
              <w:rPr>
                <w:lang w:val="en-GB"/>
              </w:rPr>
              <w:t>Cytokines drive inflammation and joint damage</w:t>
            </w:r>
          </w:p>
        </w:tc>
      </w:tr>
      <w:tr w:rsidR="006D13B2" w:rsidRPr="006D13B2" w14:paraId="7CB250EB" w14:textId="77777777" w:rsidTr="006D13B2">
        <w:trPr>
          <w:tblCellSpacing w:w="15" w:type="dxa"/>
        </w:trPr>
        <w:tc>
          <w:tcPr>
            <w:tcW w:w="0" w:type="auto"/>
            <w:vAlign w:val="center"/>
            <w:hideMark/>
          </w:tcPr>
          <w:p w14:paraId="37A6F828" w14:textId="77777777" w:rsidR="006D13B2" w:rsidRPr="006D13B2" w:rsidRDefault="006D13B2" w:rsidP="006D13B2">
            <w:pPr>
              <w:rPr>
                <w:lang w:val="en-GB"/>
              </w:rPr>
            </w:pPr>
            <w:r w:rsidRPr="006D13B2">
              <w:rPr>
                <w:b/>
                <w:bCs/>
                <w:lang w:val="en-GB"/>
              </w:rPr>
              <w:t xml:space="preserve">T cell receptor </w:t>
            </w:r>
            <w:proofErr w:type="spellStart"/>
            <w:r w:rsidRPr="006D13B2">
              <w:rPr>
                <w:b/>
                <w:bCs/>
                <w:lang w:val="en-GB"/>
              </w:rPr>
              <w:t>signaling</w:t>
            </w:r>
            <w:proofErr w:type="spellEnd"/>
            <w:r w:rsidRPr="006D13B2">
              <w:rPr>
                <w:b/>
                <w:bCs/>
                <w:lang w:val="en-GB"/>
              </w:rPr>
              <w:t xml:space="preserve"> pathway</w:t>
            </w:r>
          </w:p>
        </w:tc>
        <w:tc>
          <w:tcPr>
            <w:tcW w:w="0" w:type="auto"/>
            <w:vAlign w:val="center"/>
            <w:hideMark/>
          </w:tcPr>
          <w:p w14:paraId="1B8ADE3D" w14:textId="77777777" w:rsidR="006D13B2" w:rsidRPr="006D13B2" w:rsidRDefault="006D13B2" w:rsidP="006D13B2">
            <w:pPr>
              <w:rPr>
                <w:lang w:val="en-GB"/>
              </w:rPr>
            </w:pPr>
            <w:r w:rsidRPr="006D13B2">
              <w:rPr>
                <w:lang w:val="en-GB"/>
              </w:rPr>
              <w:t>hsa04660</w:t>
            </w:r>
          </w:p>
        </w:tc>
        <w:tc>
          <w:tcPr>
            <w:tcW w:w="0" w:type="auto"/>
            <w:vAlign w:val="center"/>
            <w:hideMark/>
          </w:tcPr>
          <w:p w14:paraId="397C9D7B" w14:textId="77777777" w:rsidR="006D13B2" w:rsidRPr="006D13B2" w:rsidRDefault="006D13B2" w:rsidP="006D13B2">
            <w:pPr>
              <w:rPr>
                <w:lang w:val="en-GB"/>
              </w:rPr>
            </w:pPr>
            <w:r w:rsidRPr="006D13B2">
              <w:rPr>
                <w:lang w:val="en-GB"/>
              </w:rPr>
              <w:t>T cells orchestrate autoimmune responses</w:t>
            </w:r>
          </w:p>
        </w:tc>
      </w:tr>
      <w:tr w:rsidR="006D13B2" w:rsidRPr="006D13B2" w14:paraId="57FBDFED" w14:textId="77777777" w:rsidTr="006D13B2">
        <w:trPr>
          <w:tblCellSpacing w:w="15" w:type="dxa"/>
        </w:trPr>
        <w:tc>
          <w:tcPr>
            <w:tcW w:w="0" w:type="auto"/>
            <w:vAlign w:val="center"/>
            <w:hideMark/>
          </w:tcPr>
          <w:p w14:paraId="5FD75462" w14:textId="77777777" w:rsidR="006D13B2" w:rsidRPr="006D13B2" w:rsidRDefault="006D13B2" w:rsidP="006D13B2">
            <w:pPr>
              <w:rPr>
                <w:lang w:val="en-GB"/>
              </w:rPr>
            </w:pPr>
            <w:r w:rsidRPr="006D13B2">
              <w:rPr>
                <w:b/>
                <w:bCs/>
                <w:lang w:val="en-GB"/>
              </w:rPr>
              <w:t xml:space="preserve">B cell receptor </w:t>
            </w:r>
            <w:proofErr w:type="spellStart"/>
            <w:r w:rsidRPr="006D13B2">
              <w:rPr>
                <w:b/>
                <w:bCs/>
                <w:lang w:val="en-GB"/>
              </w:rPr>
              <w:t>signaling</w:t>
            </w:r>
            <w:proofErr w:type="spellEnd"/>
            <w:r w:rsidRPr="006D13B2">
              <w:rPr>
                <w:b/>
                <w:bCs/>
                <w:lang w:val="en-GB"/>
              </w:rPr>
              <w:t xml:space="preserve"> pathway</w:t>
            </w:r>
          </w:p>
        </w:tc>
        <w:tc>
          <w:tcPr>
            <w:tcW w:w="0" w:type="auto"/>
            <w:vAlign w:val="center"/>
            <w:hideMark/>
          </w:tcPr>
          <w:p w14:paraId="62CD2E1C" w14:textId="77777777" w:rsidR="006D13B2" w:rsidRPr="006D13B2" w:rsidRDefault="006D13B2" w:rsidP="006D13B2">
            <w:pPr>
              <w:rPr>
                <w:lang w:val="en-GB"/>
              </w:rPr>
            </w:pPr>
            <w:r w:rsidRPr="006D13B2">
              <w:rPr>
                <w:lang w:val="en-GB"/>
              </w:rPr>
              <w:t>hsa04662</w:t>
            </w:r>
          </w:p>
        </w:tc>
        <w:tc>
          <w:tcPr>
            <w:tcW w:w="0" w:type="auto"/>
            <w:vAlign w:val="center"/>
            <w:hideMark/>
          </w:tcPr>
          <w:p w14:paraId="746EC155" w14:textId="77777777" w:rsidR="006D13B2" w:rsidRPr="006D13B2" w:rsidRDefault="006D13B2" w:rsidP="006D13B2">
            <w:pPr>
              <w:rPr>
                <w:lang w:val="en-GB"/>
              </w:rPr>
            </w:pPr>
            <w:r w:rsidRPr="006D13B2">
              <w:rPr>
                <w:lang w:val="en-GB"/>
              </w:rPr>
              <w:t>B cells produce autoantibodies</w:t>
            </w:r>
          </w:p>
        </w:tc>
      </w:tr>
      <w:tr w:rsidR="006D13B2" w:rsidRPr="006D13B2" w14:paraId="171DBBD4" w14:textId="77777777" w:rsidTr="006D13B2">
        <w:trPr>
          <w:tblCellSpacing w:w="15" w:type="dxa"/>
        </w:trPr>
        <w:tc>
          <w:tcPr>
            <w:tcW w:w="0" w:type="auto"/>
            <w:vAlign w:val="center"/>
            <w:hideMark/>
          </w:tcPr>
          <w:p w14:paraId="74CA5F49" w14:textId="77777777" w:rsidR="006D13B2" w:rsidRPr="006D13B2" w:rsidRDefault="006D13B2" w:rsidP="006D13B2">
            <w:pPr>
              <w:rPr>
                <w:lang w:val="en-GB"/>
              </w:rPr>
            </w:pPr>
            <w:r w:rsidRPr="006D13B2">
              <w:rPr>
                <w:b/>
                <w:bCs/>
                <w:lang w:val="en-GB"/>
              </w:rPr>
              <w:t xml:space="preserve">NF-kappa B </w:t>
            </w:r>
            <w:proofErr w:type="spellStart"/>
            <w:r w:rsidRPr="006D13B2">
              <w:rPr>
                <w:b/>
                <w:bCs/>
                <w:lang w:val="en-GB"/>
              </w:rPr>
              <w:t>signaling</w:t>
            </w:r>
            <w:proofErr w:type="spellEnd"/>
            <w:r w:rsidRPr="006D13B2">
              <w:rPr>
                <w:b/>
                <w:bCs/>
                <w:lang w:val="en-GB"/>
              </w:rPr>
              <w:t xml:space="preserve"> pathway</w:t>
            </w:r>
          </w:p>
        </w:tc>
        <w:tc>
          <w:tcPr>
            <w:tcW w:w="0" w:type="auto"/>
            <w:vAlign w:val="center"/>
            <w:hideMark/>
          </w:tcPr>
          <w:p w14:paraId="12B66BB5" w14:textId="77777777" w:rsidR="006D13B2" w:rsidRPr="006D13B2" w:rsidRDefault="006D13B2" w:rsidP="006D13B2">
            <w:pPr>
              <w:rPr>
                <w:lang w:val="en-GB"/>
              </w:rPr>
            </w:pPr>
            <w:r w:rsidRPr="006D13B2">
              <w:rPr>
                <w:lang w:val="en-GB"/>
              </w:rPr>
              <w:t>hsa04064</w:t>
            </w:r>
          </w:p>
        </w:tc>
        <w:tc>
          <w:tcPr>
            <w:tcW w:w="0" w:type="auto"/>
            <w:vAlign w:val="center"/>
            <w:hideMark/>
          </w:tcPr>
          <w:p w14:paraId="7B4EBFB7" w14:textId="77777777" w:rsidR="006D13B2" w:rsidRPr="006D13B2" w:rsidRDefault="006D13B2" w:rsidP="006D13B2">
            <w:pPr>
              <w:rPr>
                <w:lang w:val="en-GB"/>
              </w:rPr>
            </w:pPr>
            <w:r w:rsidRPr="006D13B2">
              <w:rPr>
                <w:lang w:val="en-GB"/>
              </w:rPr>
              <w:t>Master regulator of inflammation</w:t>
            </w:r>
          </w:p>
        </w:tc>
      </w:tr>
      <w:tr w:rsidR="006D13B2" w:rsidRPr="006D13B2" w14:paraId="5DB3F530" w14:textId="77777777" w:rsidTr="006D13B2">
        <w:trPr>
          <w:tblCellSpacing w:w="15" w:type="dxa"/>
        </w:trPr>
        <w:tc>
          <w:tcPr>
            <w:tcW w:w="0" w:type="auto"/>
            <w:vAlign w:val="center"/>
            <w:hideMark/>
          </w:tcPr>
          <w:p w14:paraId="6ABB80AA" w14:textId="77777777" w:rsidR="006D13B2" w:rsidRPr="006D13B2" w:rsidRDefault="006D13B2" w:rsidP="006D13B2">
            <w:r w:rsidRPr="006D13B2">
              <w:rPr>
                <w:b/>
                <w:bCs/>
                <w:lang w:val="en-GB"/>
              </w:rPr>
              <w:t>Ant</w:t>
            </w:r>
            <w:proofErr w:type="spellStart"/>
            <w:r w:rsidRPr="006D13B2">
              <w:rPr>
                <w:b/>
                <w:bCs/>
              </w:rPr>
              <w:t>igen</w:t>
            </w:r>
            <w:proofErr w:type="spellEnd"/>
            <w:r w:rsidRPr="006D13B2">
              <w:rPr>
                <w:b/>
                <w:bCs/>
              </w:rPr>
              <w:t xml:space="preserve"> processing </w:t>
            </w:r>
            <w:proofErr w:type="spellStart"/>
            <w:r w:rsidRPr="006D13B2">
              <w:rPr>
                <w:b/>
                <w:bCs/>
              </w:rPr>
              <w:t>and</w:t>
            </w:r>
            <w:proofErr w:type="spellEnd"/>
            <w:r w:rsidRPr="006D13B2">
              <w:rPr>
                <w:b/>
                <w:bCs/>
              </w:rPr>
              <w:t xml:space="preserve"> </w:t>
            </w:r>
            <w:proofErr w:type="spellStart"/>
            <w:r w:rsidRPr="006D13B2">
              <w:rPr>
                <w:b/>
                <w:bCs/>
              </w:rPr>
              <w:t>presentation</w:t>
            </w:r>
            <w:proofErr w:type="spellEnd"/>
          </w:p>
        </w:tc>
        <w:tc>
          <w:tcPr>
            <w:tcW w:w="0" w:type="auto"/>
            <w:vAlign w:val="center"/>
            <w:hideMark/>
          </w:tcPr>
          <w:p w14:paraId="3643F2FE" w14:textId="77777777" w:rsidR="006D13B2" w:rsidRPr="006D13B2" w:rsidRDefault="006D13B2" w:rsidP="006D13B2">
            <w:r w:rsidRPr="006D13B2">
              <w:t>hsa04612</w:t>
            </w:r>
          </w:p>
        </w:tc>
        <w:tc>
          <w:tcPr>
            <w:tcW w:w="0" w:type="auto"/>
            <w:vAlign w:val="center"/>
            <w:hideMark/>
          </w:tcPr>
          <w:p w14:paraId="67CDD010" w14:textId="77777777" w:rsidR="006D13B2" w:rsidRPr="006D13B2" w:rsidRDefault="006D13B2" w:rsidP="006D13B2">
            <w:pPr>
              <w:rPr>
                <w:lang w:val="en-GB"/>
              </w:rPr>
            </w:pPr>
            <w:r w:rsidRPr="006D13B2">
              <w:rPr>
                <w:lang w:val="en-GB"/>
              </w:rPr>
              <w:t>MHC class II and antigen presentation</w:t>
            </w:r>
          </w:p>
        </w:tc>
      </w:tr>
      <w:tr w:rsidR="006D13B2" w:rsidRPr="006D13B2" w14:paraId="61D282E7" w14:textId="77777777" w:rsidTr="006D13B2">
        <w:trPr>
          <w:tblCellSpacing w:w="15" w:type="dxa"/>
        </w:trPr>
        <w:tc>
          <w:tcPr>
            <w:tcW w:w="0" w:type="auto"/>
            <w:vAlign w:val="center"/>
            <w:hideMark/>
          </w:tcPr>
          <w:p w14:paraId="5BD22A8C" w14:textId="77777777" w:rsidR="006D13B2" w:rsidRPr="006D13B2" w:rsidRDefault="006D13B2" w:rsidP="006D13B2">
            <w:r w:rsidRPr="006D13B2">
              <w:rPr>
                <w:b/>
                <w:bCs/>
              </w:rPr>
              <w:t xml:space="preserve">Th17 </w:t>
            </w:r>
            <w:proofErr w:type="spellStart"/>
            <w:r w:rsidRPr="006D13B2">
              <w:rPr>
                <w:b/>
                <w:bCs/>
              </w:rPr>
              <w:t>cell</w:t>
            </w:r>
            <w:proofErr w:type="spellEnd"/>
            <w:r w:rsidRPr="006D13B2">
              <w:rPr>
                <w:b/>
                <w:bCs/>
              </w:rPr>
              <w:t xml:space="preserve"> </w:t>
            </w:r>
            <w:proofErr w:type="spellStart"/>
            <w:r w:rsidRPr="006D13B2">
              <w:rPr>
                <w:b/>
                <w:bCs/>
              </w:rPr>
              <w:t>differentiation</w:t>
            </w:r>
            <w:proofErr w:type="spellEnd"/>
          </w:p>
        </w:tc>
        <w:tc>
          <w:tcPr>
            <w:tcW w:w="0" w:type="auto"/>
            <w:vAlign w:val="center"/>
            <w:hideMark/>
          </w:tcPr>
          <w:p w14:paraId="28B71D38" w14:textId="77777777" w:rsidR="006D13B2" w:rsidRPr="006D13B2" w:rsidRDefault="006D13B2" w:rsidP="006D13B2">
            <w:r w:rsidRPr="006D13B2">
              <w:t>hsa04659</w:t>
            </w:r>
          </w:p>
        </w:tc>
        <w:tc>
          <w:tcPr>
            <w:tcW w:w="0" w:type="auto"/>
            <w:vAlign w:val="center"/>
            <w:hideMark/>
          </w:tcPr>
          <w:p w14:paraId="13E8B773" w14:textId="77777777" w:rsidR="006D13B2" w:rsidRPr="006D13B2" w:rsidRDefault="006D13B2" w:rsidP="006D13B2">
            <w:pPr>
              <w:rPr>
                <w:lang w:val="en-GB"/>
              </w:rPr>
            </w:pPr>
            <w:r w:rsidRPr="006D13B2">
              <w:rPr>
                <w:lang w:val="en-GB"/>
              </w:rPr>
              <w:t>Th17 cells contribute to RA inflammation</w:t>
            </w:r>
          </w:p>
        </w:tc>
      </w:tr>
      <w:tr w:rsidR="006D13B2" w:rsidRPr="006D13B2" w14:paraId="2B31FD2A" w14:textId="77777777" w:rsidTr="006D13B2">
        <w:trPr>
          <w:tblCellSpacing w:w="15" w:type="dxa"/>
        </w:trPr>
        <w:tc>
          <w:tcPr>
            <w:tcW w:w="0" w:type="auto"/>
            <w:vAlign w:val="center"/>
            <w:hideMark/>
          </w:tcPr>
          <w:p w14:paraId="63F4C6BC" w14:textId="77777777" w:rsidR="006D13B2" w:rsidRPr="006D13B2" w:rsidRDefault="006D13B2" w:rsidP="006D13B2">
            <w:r w:rsidRPr="006D13B2">
              <w:rPr>
                <w:b/>
                <w:bCs/>
              </w:rPr>
              <w:t xml:space="preserve">Complement </w:t>
            </w:r>
            <w:proofErr w:type="spellStart"/>
            <w:r w:rsidRPr="006D13B2">
              <w:rPr>
                <w:b/>
                <w:bCs/>
              </w:rPr>
              <w:t>and</w:t>
            </w:r>
            <w:proofErr w:type="spellEnd"/>
            <w:r w:rsidRPr="006D13B2">
              <w:rPr>
                <w:b/>
                <w:bCs/>
              </w:rPr>
              <w:t xml:space="preserve"> coagulation cascades</w:t>
            </w:r>
          </w:p>
        </w:tc>
        <w:tc>
          <w:tcPr>
            <w:tcW w:w="0" w:type="auto"/>
            <w:vAlign w:val="center"/>
            <w:hideMark/>
          </w:tcPr>
          <w:p w14:paraId="40790CF0" w14:textId="77777777" w:rsidR="006D13B2" w:rsidRPr="006D13B2" w:rsidRDefault="006D13B2" w:rsidP="006D13B2">
            <w:r w:rsidRPr="006D13B2">
              <w:t>hsa04610</w:t>
            </w:r>
          </w:p>
        </w:tc>
        <w:tc>
          <w:tcPr>
            <w:tcW w:w="0" w:type="auto"/>
            <w:vAlign w:val="center"/>
            <w:hideMark/>
          </w:tcPr>
          <w:p w14:paraId="7EF22994" w14:textId="77777777" w:rsidR="006D13B2" w:rsidRPr="006D13B2" w:rsidRDefault="006D13B2" w:rsidP="006D13B2">
            <w:pPr>
              <w:rPr>
                <w:lang w:val="en-GB"/>
              </w:rPr>
            </w:pPr>
            <w:r w:rsidRPr="006D13B2">
              <w:rPr>
                <w:lang w:val="en-GB"/>
              </w:rPr>
              <w:t>Involved in inflammation and tissue damage</w:t>
            </w:r>
          </w:p>
        </w:tc>
      </w:tr>
    </w:tbl>
    <w:p w14:paraId="5A99B2D6" w14:textId="77777777" w:rsidR="00751DDC" w:rsidRDefault="00751DDC">
      <w:pPr>
        <w:rPr>
          <w:lang w:val="en-GB"/>
        </w:rPr>
      </w:pPr>
    </w:p>
    <w:p w14:paraId="28324FF7" w14:textId="3DB803B4" w:rsidR="000443A9" w:rsidRPr="006D13B2" w:rsidRDefault="00776023" w:rsidP="000443A9">
      <w:pPr>
        <w:rPr>
          <w:lang w:val="en-GB"/>
        </w:rPr>
      </w:pPr>
      <w:r>
        <w:rPr>
          <w:noProof/>
          <w:lang w:val="en-GB"/>
        </w:rPr>
        <w:drawing>
          <wp:inline distT="0" distB="0" distL="0" distR="0" wp14:anchorId="79C4D132" wp14:editId="2840AA74">
            <wp:extent cx="6322323" cy="2939355"/>
            <wp:effectExtent l="0" t="0" r="2540" b="0"/>
            <wp:docPr id="871147808"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332615" cy="2944140"/>
                    </a:xfrm>
                    <a:prstGeom prst="rect">
                      <a:avLst/>
                    </a:prstGeom>
                    <a:noFill/>
                  </pic:spPr>
                </pic:pic>
              </a:graphicData>
            </a:graphic>
          </wp:inline>
        </w:drawing>
      </w:r>
    </w:p>
    <w:p w14:paraId="3014913D" w14:textId="71ECE601" w:rsidR="000443A9" w:rsidRDefault="000443A9">
      <w:pPr>
        <w:rPr>
          <w:lang w:val="en-GB"/>
        </w:rPr>
      </w:pPr>
    </w:p>
    <w:p w14:paraId="1C09353F" w14:textId="77777777" w:rsidR="00A5687E" w:rsidRDefault="00A5687E">
      <w:pPr>
        <w:rPr>
          <w:lang w:val="en-GB"/>
        </w:rPr>
      </w:pPr>
    </w:p>
    <w:p w14:paraId="2149AA3A" w14:textId="77777777" w:rsidR="00A5687E" w:rsidRDefault="00A5687E">
      <w:pPr>
        <w:rPr>
          <w:lang w:val="en-GB"/>
        </w:rPr>
      </w:pPr>
    </w:p>
    <w:p w14:paraId="7F4D5E85" w14:textId="77777777" w:rsidR="00A5687E" w:rsidRDefault="00A5687E">
      <w:pPr>
        <w:rPr>
          <w:lang w:val="en-GB"/>
        </w:rPr>
      </w:pPr>
    </w:p>
    <w:p w14:paraId="0E64BA7F" w14:textId="77777777" w:rsidR="00A5687E" w:rsidRDefault="00A5687E">
      <w:pPr>
        <w:rPr>
          <w:lang w:val="en-GB"/>
        </w:rPr>
      </w:pPr>
    </w:p>
    <w:p w14:paraId="1D1A2318" w14:textId="77777777" w:rsidR="00A5687E" w:rsidRDefault="00A5687E">
      <w:pPr>
        <w:rPr>
          <w:lang w:val="en-GB"/>
        </w:rPr>
      </w:pPr>
    </w:p>
    <w:p w14:paraId="2286CE95" w14:textId="77777777" w:rsidR="00A5687E" w:rsidRDefault="00A5687E">
      <w:pPr>
        <w:rPr>
          <w:lang w:val="en-GB"/>
        </w:rPr>
      </w:pPr>
    </w:p>
    <w:p w14:paraId="7F53A3C7" w14:textId="77777777" w:rsidR="00A5687E" w:rsidRDefault="00A5687E">
      <w:pPr>
        <w:rPr>
          <w:lang w:val="en-GB"/>
        </w:rPr>
      </w:pPr>
    </w:p>
    <w:p w14:paraId="282452BF" w14:textId="05B24C9D" w:rsidR="00A5687E" w:rsidRDefault="004E1724">
      <w:pPr>
        <w:rPr>
          <w:lang w:val="en-GB"/>
        </w:rPr>
      </w:pPr>
      <w:r>
        <w:rPr>
          <w:noProof/>
        </w:rPr>
        <w:drawing>
          <wp:anchor distT="0" distB="0" distL="114300" distR="114300" simplePos="0" relativeHeight="251707392" behindDoc="1" locked="0" layoutInCell="1" allowOverlap="1" wp14:anchorId="293AAC64" wp14:editId="721DCC7A">
            <wp:simplePos x="0" y="0"/>
            <wp:positionH relativeFrom="margin">
              <wp:posOffset>-766445</wp:posOffset>
            </wp:positionH>
            <wp:positionV relativeFrom="paragraph">
              <wp:posOffset>1905</wp:posOffset>
            </wp:positionV>
            <wp:extent cx="7203440" cy="4730750"/>
            <wp:effectExtent l="0" t="0" r="0" b="0"/>
            <wp:wrapTight wrapText="bothSides">
              <wp:wrapPolygon edited="0">
                <wp:start x="0" y="0"/>
                <wp:lineTo x="0" y="21484"/>
                <wp:lineTo x="21535" y="21484"/>
                <wp:lineTo x="21535" y="0"/>
                <wp:lineTo x="0" y="0"/>
              </wp:wrapPolygon>
            </wp:wrapTight>
            <wp:docPr id="476787088" name="Afbeelding 1" descr="Afbeelding met tekst, software, Computerpictogram, Multimediasoftwar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787088" name="Afbeelding 1" descr="Afbeelding met tekst, software, Computerpictogram, Multimediasoftware&#10;&#10;Door AI gegenereerde inhoud is mogelijk onjuist."/>
                    <pic:cNvPicPr/>
                  </pic:nvPicPr>
                  <pic:blipFill rotWithShape="1">
                    <a:blip r:embed="rId13">
                      <a:extLst>
                        <a:ext uri="{28A0092B-C50C-407E-A947-70E740481C1C}">
                          <a14:useLocalDpi xmlns:a14="http://schemas.microsoft.com/office/drawing/2010/main" val="0"/>
                        </a:ext>
                      </a:extLst>
                    </a:blip>
                    <a:srcRect l="18805" t="20996" r="20034" b="7598"/>
                    <a:stretch>
                      <a:fillRect/>
                    </a:stretch>
                  </pic:blipFill>
                  <pic:spPr bwMode="auto">
                    <a:xfrm>
                      <a:off x="0" y="0"/>
                      <a:ext cx="7203440" cy="47307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CECE784" w14:textId="77777777" w:rsidR="001870DD" w:rsidRPr="008E71DE" w:rsidRDefault="001870DD" w:rsidP="001870DD">
      <w:pPr>
        <w:rPr>
          <w:b/>
          <w:bCs/>
          <w:lang w:val="en-GB"/>
        </w:rPr>
      </w:pPr>
      <w:r w:rsidRPr="00953871">
        <w:rPr>
          <w:b/>
          <w:bCs/>
          <w:highlight w:val="yellow"/>
          <w:lang w:val="en-GB"/>
        </w:rPr>
        <w:t>Upregulation of osteoclasts</w:t>
      </w:r>
    </w:p>
    <w:p w14:paraId="377AA2D2" w14:textId="77777777" w:rsidR="001870DD" w:rsidRDefault="001870DD" w:rsidP="001870DD">
      <w:pPr>
        <w:rPr>
          <w:lang w:val="en-GB"/>
        </w:rPr>
      </w:pPr>
      <w:proofErr w:type="spellStart"/>
      <w:r w:rsidRPr="008E71DE">
        <w:rPr>
          <w:lang w:val="en-GB"/>
        </w:rPr>
        <w:t>Imbalancein</w:t>
      </w:r>
      <w:proofErr w:type="spellEnd"/>
      <w:r w:rsidRPr="008E71DE">
        <w:rPr>
          <w:lang w:val="en-GB"/>
        </w:rPr>
        <w:t xml:space="preserve"> </w:t>
      </w:r>
      <w:proofErr w:type="spellStart"/>
      <w:r w:rsidRPr="008E71DE">
        <w:rPr>
          <w:lang w:val="en-GB"/>
        </w:rPr>
        <w:t>thefinely</w:t>
      </w:r>
      <w:proofErr w:type="spellEnd"/>
      <w:r w:rsidRPr="008E71DE">
        <w:rPr>
          <w:lang w:val="en-GB"/>
        </w:rPr>
        <w:t xml:space="preserve"> regulated osteoblast-osteoclast system plays a central role in the pathogenesis of several metabolic bone and systemic inflammatory diseases. Due to the complex interactions of the bone and the immune system, inflammation may accelerate/ increase bone resorption via osteoclast activation. Local osteoclast activation is promoted by proinflammatory cytokines released during inflammation (TNF-a, IL-1, IL-6, IL-17, IL-23),</w:t>
      </w:r>
      <w:proofErr w:type="spellStart"/>
      <w:r w:rsidRPr="008E71DE">
        <w:rPr>
          <w:lang w:val="en-GB"/>
        </w:rPr>
        <w:t>byRANK-Lproduced</w:t>
      </w:r>
      <w:proofErr w:type="spellEnd"/>
      <w:r w:rsidRPr="008E71DE">
        <w:rPr>
          <w:lang w:val="en-GB"/>
        </w:rPr>
        <w:t xml:space="preserve"> by lymphocytes and fibroblasts, and by direct cell-cell interactions (12, 13). The production of IL-17 by Th17 lymphocytes is elevated in certain inflammatory conditions, which has a synergic effect with IL-1 and TNF-a(14). Consequently, osteoclasts and synovial fibroblasts in the joint can be activated. Therefore, inflammation is associated with local and systemic bone loss in inflammatory arthropathies e.g. rheumatoid arthritis (RA) or psoriatic arthritis (PsA).</w:t>
      </w:r>
    </w:p>
    <w:p w14:paraId="76C53365" w14:textId="77777777" w:rsidR="001870DD" w:rsidRPr="008E71DE" w:rsidRDefault="001870DD" w:rsidP="001870DD">
      <w:pPr>
        <w:rPr>
          <w:b/>
          <w:bCs/>
          <w:lang w:val="en-GB"/>
        </w:rPr>
      </w:pPr>
      <w:r w:rsidRPr="008E71DE">
        <w:rPr>
          <w:b/>
          <w:bCs/>
          <w:lang w:val="en-GB"/>
        </w:rPr>
        <w:t>V-</w:t>
      </w:r>
      <w:proofErr w:type="spellStart"/>
      <w:r w:rsidRPr="008E71DE">
        <w:rPr>
          <w:b/>
          <w:bCs/>
          <w:lang w:val="en-GB"/>
        </w:rPr>
        <w:t>atpase</w:t>
      </w:r>
      <w:proofErr w:type="spellEnd"/>
    </w:p>
    <w:p w14:paraId="0651931F" w14:textId="77777777" w:rsidR="001870DD" w:rsidRDefault="001870DD" w:rsidP="001870DD">
      <w:pPr>
        <w:rPr>
          <w:lang w:val="en-GB"/>
        </w:rPr>
      </w:pPr>
      <w:r w:rsidRPr="008E71DE">
        <w:rPr>
          <w:lang w:val="en-GB"/>
        </w:rPr>
        <w:t xml:space="preserve">The increased osteoclast-specific secretion is supported by the increased expression of </w:t>
      </w:r>
      <w:proofErr w:type="spellStart"/>
      <w:r w:rsidRPr="008E71DE">
        <w:rPr>
          <w:lang w:val="en-GB"/>
        </w:rPr>
        <w:t>vacuolar</w:t>
      </w:r>
      <w:proofErr w:type="spellEnd"/>
      <w:r w:rsidRPr="008E71DE">
        <w:rPr>
          <w:lang w:val="en-GB"/>
        </w:rPr>
        <w:t xml:space="preserve">-type H+ -ATPase (V-ATPase), sodium/hydrogen exchanger 9B2 (a Na+ /H+ antiporter) (39, 40), cathepsin K and B (proteolytic enzymes) (41, 42), and lysosomal acid phosphatase (43). </w:t>
      </w:r>
      <w:r w:rsidRPr="008E71DE">
        <w:rPr>
          <w:lang w:val="en-GB"/>
        </w:rPr>
        <w:lastRenderedPageBreak/>
        <w:t>Integrin alpha-V crossing the cell membrane and anchored to the bone surface is essential, with which osteoclasts come into close contact with bone and promote the formation of the resorption lacunae (44). These results show, that the proteins with increased expression in osteoclasts detected in our experiments fit well with the previously reported characteristics of these cells.</w:t>
      </w:r>
    </w:p>
    <w:p w14:paraId="0285AF42" w14:textId="77777777" w:rsidR="001870DD" w:rsidRPr="008E71DE" w:rsidRDefault="001870DD" w:rsidP="001870DD">
      <w:pPr>
        <w:rPr>
          <w:b/>
          <w:bCs/>
          <w:lang w:val="en-GB"/>
        </w:rPr>
      </w:pPr>
      <w:r w:rsidRPr="008E71DE">
        <w:rPr>
          <w:b/>
          <w:bCs/>
          <w:lang w:val="en-GB"/>
        </w:rPr>
        <w:t>This is not how it should be</w:t>
      </w:r>
    </w:p>
    <w:p w14:paraId="5DA123C8" w14:textId="77777777" w:rsidR="001870DD" w:rsidRPr="008E71DE" w:rsidRDefault="001870DD" w:rsidP="001870DD">
      <w:pPr>
        <w:rPr>
          <w:lang w:val="en-GB"/>
        </w:rPr>
      </w:pPr>
      <w:r w:rsidRPr="008E71DE">
        <w:rPr>
          <w:lang w:val="en-GB"/>
        </w:rPr>
        <w:t>Both RANK-L and M-CSF are essential for the differentiation, activation, and survival of osteoclasts</w:t>
      </w:r>
      <w:r>
        <w:rPr>
          <w:lang w:val="en-GB"/>
        </w:rPr>
        <w:t xml:space="preserve">. </w:t>
      </w:r>
      <w:r w:rsidRPr="008E71DE">
        <w:rPr>
          <w:lang w:val="en-GB"/>
        </w:rPr>
        <w:t>The production of IL-17 by Th17 lymphocytes is elevated in certain inflammatory conditions, which has a synergic effect with IL-1 and TNF-a</w:t>
      </w:r>
    </w:p>
    <w:p w14:paraId="09E6A154" w14:textId="77777777" w:rsidR="001870DD" w:rsidRDefault="001870DD" w:rsidP="001870DD">
      <w:pPr>
        <w:rPr>
          <w:lang w:val="en-GB"/>
        </w:rPr>
      </w:pPr>
      <w:hyperlink r:id="rId14" w:history="1">
        <w:r w:rsidRPr="00F60259">
          <w:rPr>
            <w:rStyle w:val="Hyperlink"/>
            <w:lang w:val="en-GB"/>
          </w:rPr>
          <w:t>file:///C:/Users/Yaelf/Downloads/fimm</w:t>
        </w:r>
        <w:r w:rsidRPr="00F60259">
          <w:rPr>
            <w:rStyle w:val="Hyperlink"/>
            <w:lang w:val="en-GB"/>
          </w:rPr>
          <w:t>u</w:t>
        </w:r>
        <w:r w:rsidRPr="00F60259">
          <w:rPr>
            <w:rStyle w:val="Hyperlink"/>
            <w:lang w:val="en-GB"/>
          </w:rPr>
          <w:t>-13-892970.pdf</w:t>
        </w:r>
      </w:hyperlink>
      <w:r w:rsidRPr="008E71DE">
        <w:rPr>
          <w:lang w:val="en-GB"/>
        </w:rPr>
        <w:t xml:space="preserve"> </w:t>
      </w:r>
    </w:p>
    <w:p w14:paraId="6FC7CCAF" w14:textId="77777777" w:rsidR="001870DD" w:rsidRPr="002F1A5B" w:rsidRDefault="001870DD" w:rsidP="001870DD">
      <w:pPr>
        <w:rPr>
          <w:b/>
          <w:bCs/>
          <w:lang w:val="en-GB"/>
        </w:rPr>
      </w:pPr>
      <w:r w:rsidRPr="002F1A5B">
        <w:rPr>
          <w:b/>
          <w:bCs/>
          <w:lang w:val="en-GB"/>
        </w:rPr>
        <w:t>upregulation Th17</w:t>
      </w:r>
    </w:p>
    <w:p w14:paraId="5F04461D" w14:textId="77777777" w:rsidR="001870DD" w:rsidRDefault="001870DD" w:rsidP="001870DD">
      <w:pPr>
        <w:rPr>
          <w:lang w:val="en-GB"/>
        </w:rPr>
      </w:pPr>
      <w:r w:rsidRPr="008E71DE">
        <w:rPr>
          <w:lang w:val="en-GB"/>
        </w:rPr>
        <w:t xml:space="preserve">Th17 cells and Treg cells, each with specific functions and gene expression, develop from the same naive CD4+ T cells, but under different cytokine environment (3). Typical proinflammatory Th17 cells, through the induction of proinflammatory cytokines, lead to autoimmune-derived tissue inflammation and joint damage. Furthermore, the activity of Th17 cells, as well as other effector T cells, is suppressed by Treg cell </w:t>
      </w:r>
    </w:p>
    <w:p w14:paraId="4202C025" w14:textId="77777777" w:rsidR="001870DD" w:rsidRDefault="001870DD" w:rsidP="001870DD">
      <w:pPr>
        <w:rPr>
          <w:lang w:val="en-GB"/>
        </w:rPr>
      </w:pPr>
      <w:hyperlink r:id="rId15" w:history="1">
        <w:r w:rsidRPr="00F60259">
          <w:rPr>
            <w:rStyle w:val="Hyperlink"/>
            <w:lang w:val="en-GB"/>
          </w:rPr>
          <w:t>file:///C:/Users/Yaelf/Downloads/fimmu-11-572858.</w:t>
        </w:r>
        <w:r w:rsidRPr="00F60259">
          <w:rPr>
            <w:rStyle w:val="Hyperlink"/>
            <w:lang w:val="en-GB"/>
          </w:rPr>
          <w:t>p</w:t>
        </w:r>
        <w:r w:rsidRPr="00F60259">
          <w:rPr>
            <w:rStyle w:val="Hyperlink"/>
            <w:lang w:val="en-GB"/>
          </w:rPr>
          <w:t>df</w:t>
        </w:r>
      </w:hyperlink>
    </w:p>
    <w:p w14:paraId="7E921DB6" w14:textId="77777777" w:rsidR="001870DD" w:rsidRDefault="001870DD" w:rsidP="001870DD">
      <w:pPr>
        <w:rPr>
          <w:lang w:val="en-GB"/>
        </w:rPr>
      </w:pPr>
    </w:p>
    <w:p w14:paraId="468AB9E4" w14:textId="77777777" w:rsidR="001870DD" w:rsidRDefault="001870DD" w:rsidP="001870DD">
      <w:pPr>
        <w:rPr>
          <w:lang w:val="en-GB"/>
        </w:rPr>
      </w:pPr>
      <w:r w:rsidRPr="00953871">
        <w:rPr>
          <w:highlight w:val="yellow"/>
          <w:lang w:val="en-GB"/>
        </w:rPr>
        <w:t>Upregulation of receptors</w:t>
      </w:r>
    </w:p>
    <w:p w14:paraId="530A3386" w14:textId="77777777" w:rsidR="001870DD" w:rsidRDefault="001870DD" w:rsidP="001870DD">
      <w:pPr>
        <w:rPr>
          <w:lang w:val="en-GB"/>
        </w:rPr>
      </w:pPr>
      <w:r w:rsidRPr="00953871">
        <w:rPr>
          <w:lang w:val="en-GB"/>
        </w:rPr>
        <w:t xml:space="preserve">T lymphocytes play an essential role in RA and their activation not only requires recognition of specific antigenic peptides by the T-cell receptor (TCR), but also the co-stimulatory signals provided by accessory surface molecules on T cells (3). CD28, a co-stimulatory receptor, is consecutively expressed on resting </w:t>
      </w:r>
      <w:proofErr w:type="spellStart"/>
      <w:r w:rsidRPr="00953871">
        <w:rPr>
          <w:lang w:val="en-GB"/>
        </w:rPr>
        <w:t>Tcells</w:t>
      </w:r>
      <w:proofErr w:type="spellEnd"/>
      <w:r w:rsidRPr="00953871">
        <w:rPr>
          <w:lang w:val="en-GB"/>
        </w:rPr>
        <w:t xml:space="preserve">. CTLA-4, a co-inhibitory receptor, is a member of the CD28 family expressed on the surface of T cells soon after its activation (3, 4). CD80 and CD86 (B7 molecules), mainly expressed on B cells, monocytes/macrophages, and dendritic cells, are the ligands of CD28 and CTLA-4, which are upregulated when activated. The binding of the ligands and CD28 promotes the activation of a TCR-stimulated T cell, while the binding of CTLA-4 causes the inhibition of T cell activation (5). CTLA-4 has higher affinity with CD80-CD86 than CD28, although it is homologous to CD28 (6). In a continuous immune response, the expression of CTLA-4 is upregulated to inhibit the proliferation of T-cell and reduce interleukin (IL)-2 production. For B7 molecules, the main function is to augment and sustain T-cell responses by interacting with CD28, while they can also provide inhibitory signals when binding with CTLA-4 (7). The immunological mechanism of T cell activation is illustrated in Figure 1. Lack of CTLA-4 will therefore cause severe lymphoproliferation and harmful destruction of multiorgan tissues, indicating that it plays an vital role in negative regulatory functions (8). Hence, changes in CTLA4 and CD86 genes have the potential to increase the immune response of autoreactive T-cells to self-antigens (9). In mouse experiments, Ewing et al. (10) confirmed that T-cell co-stimulation by connecting with CD28 and its negative regulator CTLA-4 played an important role in accelerating atherosclerosis development. </w:t>
      </w:r>
    </w:p>
    <w:p w14:paraId="49677166" w14:textId="77777777" w:rsidR="001870DD" w:rsidRDefault="001870DD" w:rsidP="001870DD">
      <w:pPr>
        <w:rPr>
          <w:lang w:val="en-GB"/>
        </w:rPr>
      </w:pPr>
    </w:p>
    <w:p w14:paraId="2076281A" w14:textId="77777777" w:rsidR="001870DD" w:rsidRDefault="001870DD" w:rsidP="001870DD">
      <w:r w:rsidRPr="00240B48">
        <w:t xml:space="preserve">Veranderingen in CTLA4- en CD86-genen hebben dus de potentie om de immuunrespons van </w:t>
      </w:r>
      <w:proofErr w:type="spellStart"/>
      <w:r w:rsidRPr="00240B48">
        <w:t>autoreactieve</w:t>
      </w:r>
      <w:proofErr w:type="spellEnd"/>
      <w:r w:rsidRPr="00240B48">
        <w:t xml:space="preserve"> T-cellen op zelfantigenen te verhogen</w:t>
      </w:r>
    </w:p>
    <w:p w14:paraId="6FED434F" w14:textId="77777777" w:rsidR="001870DD" w:rsidRDefault="001870DD" w:rsidP="001870DD">
      <w:pPr>
        <w:rPr>
          <w:lang w:val="en-GB"/>
        </w:rPr>
      </w:pPr>
      <w:hyperlink r:id="rId16" w:history="1">
        <w:r w:rsidRPr="00F60259">
          <w:rPr>
            <w:rStyle w:val="Hyperlink"/>
            <w:lang w:val="en-GB"/>
          </w:rPr>
          <w:t>file:///C:/Users/Yaelf/Downloads/fmed-08-598076.pdf</w:t>
        </w:r>
      </w:hyperlink>
    </w:p>
    <w:p w14:paraId="7C3C340B" w14:textId="77777777" w:rsidR="001870DD" w:rsidRPr="00261996" w:rsidRDefault="001870DD" w:rsidP="001870DD">
      <w:pPr>
        <w:rPr>
          <w:lang w:val="en-GB"/>
        </w:rPr>
      </w:pPr>
    </w:p>
    <w:p w14:paraId="2CA57E10" w14:textId="77777777" w:rsidR="001870DD" w:rsidRPr="00240B48" w:rsidRDefault="001870DD" w:rsidP="001870DD">
      <w:pPr>
        <w:rPr>
          <w:lang w:val="en-GB"/>
        </w:rPr>
      </w:pPr>
    </w:p>
    <w:p w14:paraId="63E1ED39" w14:textId="77777777" w:rsidR="001870DD" w:rsidRPr="00240B48" w:rsidRDefault="001870DD" w:rsidP="001870DD">
      <w:pPr>
        <w:rPr>
          <w:lang w:val="en-GB"/>
        </w:rPr>
      </w:pPr>
    </w:p>
    <w:p w14:paraId="6D56937F" w14:textId="77777777" w:rsidR="001870DD" w:rsidRDefault="001870DD" w:rsidP="001870DD">
      <w:pPr>
        <w:rPr>
          <w:b/>
          <w:bCs/>
          <w:lang w:val="en-GB"/>
        </w:rPr>
      </w:pPr>
      <w:r w:rsidRPr="00F33944">
        <w:rPr>
          <w:b/>
          <w:bCs/>
          <w:highlight w:val="yellow"/>
          <w:lang w:val="en-GB"/>
        </w:rPr>
        <w:t>Upregulation of dendritic cells</w:t>
      </w:r>
    </w:p>
    <w:p w14:paraId="2D656FA4" w14:textId="77777777" w:rsidR="001870DD" w:rsidRPr="00F33944" w:rsidRDefault="001870DD" w:rsidP="001870DD">
      <w:pPr>
        <w:rPr>
          <w:lang w:val="en-GB"/>
        </w:rPr>
      </w:pPr>
      <w:r w:rsidRPr="00F33944">
        <w:rPr>
          <w:lang w:val="en-GB"/>
        </w:rPr>
        <w:t>Dendritic cells (DCs) are the key professional antigen-presenting cells (APCs) for T cell priming. They also play a major role in immune tolerance. DCs discriminate between self- and non-self-antigens on the basis of associated innate immune activating or suppressive signals, after which DC antigen uptake and presentation promotes T cell activation or regulation. DCs and T cells collaborate in the pathogenesis of RA, particularly through the presentation of antigen that triggers the differentiation of autoreactive T cells, as well as innate immune effector functions.</w:t>
      </w:r>
    </w:p>
    <w:p w14:paraId="2778ADD6" w14:textId="77777777" w:rsidR="001870DD" w:rsidRPr="00F33944" w:rsidRDefault="001870DD" w:rsidP="001870DD">
      <w:pPr>
        <w:rPr>
          <w:lang w:val="en-GB"/>
        </w:rPr>
      </w:pPr>
      <w:r w:rsidRPr="00F33944">
        <w:rPr>
          <w:lang w:val="en-GB"/>
        </w:rPr>
        <w:t>Based on human and rodent model evidence, we propose a working model of RA, where autoantigen-specific CD4+ T cells, including follicular helper T cells (</w:t>
      </w:r>
      <w:proofErr w:type="spellStart"/>
      <w:r w:rsidRPr="00F33944">
        <w:rPr>
          <w:lang w:val="en-GB"/>
        </w:rPr>
        <w:t>Tfh</w:t>
      </w:r>
      <w:proofErr w:type="spellEnd"/>
      <w:r w:rsidRPr="00F33944">
        <w:rPr>
          <w:lang w:val="en-GB"/>
        </w:rPr>
        <w:t xml:space="preserve">), are primed by major histocompatibility complex (MHC) class II+ DCs exposed to environmental inflammatory factors that enhance their maturation, as well as generation and presentation of neoepitopes. Autoreactive and potentially cross-reactive </w:t>
      </w:r>
      <w:proofErr w:type="spellStart"/>
      <w:r w:rsidRPr="00F33944">
        <w:rPr>
          <w:lang w:val="en-GB"/>
        </w:rPr>
        <w:t>Tfh</w:t>
      </w:r>
      <w:proofErr w:type="spellEnd"/>
      <w:r w:rsidRPr="00F33944">
        <w:rPr>
          <w:lang w:val="en-GB"/>
        </w:rPr>
        <w:t xml:space="preserve"> propagate autoimmune arthritis through activation of B cells with genetic tolerance defects, followed by germinal centre formation and affinity maturation and glycosylation of autoantibodies, which contribute to the effector phase of the disease through innate mechanisms. Although partially regulated, the autoimmune response persists due to ongoing stimulation of autoreactive T cell clones by a variety of synovial MHC class II+ APCs and draining lymph node (</w:t>
      </w:r>
      <w:proofErr w:type="spellStart"/>
      <w:r w:rsidRPr="00F33944">
        <w:rPr>
          <w:lang w:val="en-GB"/>
        </w:rPr>
        <w:t>dLN</w:t>
      </w:r>
      <w:proofErr w:type="spellEnd"/>
      <w:r w:rsidRPr="00F33944">
        <w:rPr>
          <w:lang w:val="en-GB"/>
        </w:rPr>
        <w:t>) DCs (Fig. 1). This paper reviews the evidence for the contribution of DCs and T cells to this model.</w:t>
      </w:r>
    </w:p>
    <w:p w14:paraId="5BB1BA9D" w14:textId="77777777" w:rsidR="001870DD" w:rsidRDefault="001870DD" w:rsidP="001870DD">
      <w:pPr>
        <w:rPr>
          <w:lang w:val="en-GB"/>
        </w:rPr>
      </w:pPr>
      <w:r w:rsidRPr="00F33944">
        <w:rPr>
          <w:lang w:val="en-GB"/>
        </w:rPr>
        <w:t xml:space="preserve">In RA, DCs are thought to drive the activation of self-peptide-reactive inflammatory T cells, </w:t>
      </w:r>
      <w:proofErr w:type="spellStart"/>
      <w:r w:rsidRPr="00F33944">
        <w:rPr>
          <w:lang w:val="en-GB"/>
        </w:rPr>
        <w:t>Tfh</w:t>
      </w:r>
      <w:proofErr w:type="spellEnd"/>
      <w:r w:rsidRPr="00F33944">
        <w:rPr>
          <w:lang w:val="en-GB"/>
        </w:rPr>
        <w:t xml:space="preserve"> and consequently B cells for stimulating autoantibodies</w:t>
      </w:r>
    </w:p>
    <w:p w14:paraId="4C510B00" w14:textId="77777777" w:rsidR="001870DD" w:rsidRDefault="001870DD" w:rsidP="001870DD">
      <w:pPr>
        <w:rPr>
          <w:lang w:val="en-GB"/>
        </w:rPr>
      </w:pPr>
    </w:p>
    <w:p w14:paraId="5C1FE367" w14:textId="77777777" w:rsidR="001870DD" w:rsidRDefault="001870DD" w:rsidP="001870DD">
      <w:r w:rsidRPr="0025505D">
        <w:t xml:space="preserve">Hoewel gedeeltelijk gereguleerd, blijft de </w:t>
      </w:r>
      <w:proofErr w:type="spellStart"/>
      <w:r w:rsidRPr="0025505D">
        <w:t>autoimmuunrespons</w:t>
      </w:r>
      <w:proofErr w:type="spellEnd"/>
      <w:r w:rsidRPr="0025505D">
        <w:t xml:space="preserve"> bestaan door voortdurende stimulatie van </w:t>
      </w:r>
      <w:proofErr w:type="spellStart"/>
      <w:r w:rsidRPr="0025505D">
        <w:t>autoreactieve</w:t>
      </w:r>
      <w:proofErr w:type="spellEnd"/>
      <w:r w:rsidRPr="0025505D">
        <w:t xml:space="preserve"> T </w:t>
      </w:r>
      <w:proofErr w:type="spellStart"/>
      <w:r w:rsidRPr="0025505D">
        <w:t>celklonen</w:t>
      </w:r>
      <w:proofErr w:type="spellEnd"/>
      <w:r w:rsidRPr="0025505D">
        <w:t xml:space="preserve"> door een verscheidenheid aan synoviale MHC klasse II+ </w:t>
      </w:r>
      <w:proofErr w:type="spellStart"/>
      <w:r w:rsidRPr="0025505D">
        <w:t>APC's</w:t>
      </w:r>
      <w:proofErr w:type="spellEnd"/>
    </w:p>
    <w:p w14:paraId="4E63CF8B" w14:textId="77777777" w:rsidR="001870DD" w:rsidRDefault="001870DD" w:rsidP="001870DD">
      <w:r w:rsidRPr="00240B48">
        <w:t>RA voor, waarin auto-antigeen-specifieke CD4+ T-cellen, waaronder folliculaire helper T-cellen (</w:t>
      </w:r>
      <w:proofErr w:type="spellStart"/>
      <w:r w:rsidRPr="00240B48">
        <w:t>Tfh</w:t>
      </w:r>
      <w:proofErr w:type="spellEnd"/>
      <w:r w:rsidRPr="00240B48">
        <w:t xml:space="preserve">), worden geactiveerd door het major </w:t>
      </w:r>
      <w:proofErr w:type="spellStart"/>
      <w:r w:rsidRPr="00240B48">
        <w:t>histocompatibility</w:t>
      </w:r>
      <w:proofErr w:type="spellEnd"/>
      <w:r w:rsidRPr="00240B48">
        <w:t xml:space="preserve"> complex (MHC) klasse II+ </w:t>
      </w:r>
      <w:proofErr w:type="spellStart"/>
      <w:r w:rsidRPr="00240B48">
        <w:t>DC's</w:t>
      </w:r>
      <w:proofErr w:type="spellEnd"/>
      <w:r w:rsidRPr="00240B48">
        <w:t xml:space="preserve"> die worden blootgesteld aan ontstekingsfactoren in de omgeving die hun </w:t>
      </w:r>
      <w:proofErr w:type="spellStart"/>
      <w:r w:rsidRPr="00240B48">
        <w:t>maturatie</w:t>
      </w:r>
      <w:proofErr w:type="spellEnd"/>
      <w:r w:rsidRPr="00240B48">
        <w:t xml:space="preserve"> versterken,</w:t>
      </w:r>
    </w:p>
    <w:p w14:paraId="661DDB44" w14:textId="77777777" w:rsidR="001870DD" w:rsidRDefault="001870DD" w:rsidP="001870DD"/>
    <w:p w14:paraId="22719C64" w14:textId="77777777" w:rsidR="001870DD" w:rsidRDefault="001870DD" w:rsidP="001870DD">
      <w:pPr>
        <w:rPr>
          <w:lang w:val="en-GB"/>
        </w:rPr>
      </w:pPr>
      <w:r w:rsidRPr="00261996">
        <w:rPr>
          <w:lang w:val="en-GB"/>
        </w:rPr>
        <w:t>In RA, CD4+ T cells stimulate macrophages, synovial fibroblasts, and chondrocytes to yield proinflammatory cytokines (mainly interleukin (IL)1</w:t>
      </w:r>
      <w:r w:rsidRPr="00261996">
        <w:t>β</w:t>
      </w:r>
      <w:r w:rsidRPr="00261996">
        <w:rPr>
          <w:lang w:val="en-GB"/>
        </w:rPr>
        <w:t xml:space="preserve">, IL-6, and </w:t>
      </w:r>
      <w:proofErr w:type="spellStart"/>
      <w:r w:rsidRPr="00261996">
        <w:rPr>
          <w:lang w:val="en-GB"/>
        </w:rPr>
        <w:t>tumor</w:t>
      </w:r>
      <w:proofErr w:type="spellEnd"/>
      <w:r w:rsidRPr="00261996">
        <w:rPr>
          <w:lang w:val="en-GB"/>
        </w:rPr>
        <w:t xml:space="preserve"> necrosis factor alpha (TNFA)) and activate B lymphocytes. They also stimulate </w:t>
      </w:r>
      <w:proofErr w:type="spellStart"/>
      <w:r w:rsidRPr="00261996">
        <w:rPr>
          <w:lang w:val="en-GB"/>
        </w:rPr>
        <w:t>osteoclastogenesis</w:t>
      </w:r>
      <w:proofErr w:type="spellEnd"/>
      <w:r w:rsidRPr="00261996">
        <w:rPr>
          <w:lang w:val="en-GB"/>
        </w:rPr>
        <w:t xml:space="preserve"> in the bone. Ultimately, these cells lead to joint destruction and progression in RA. 4 In RA, Th1 cells and their cytokines, especially interferon-gamma (IFNG), effectively induce and perpetuate chronic inflammation and tissue destruction.</w:t>
      </w:r>
    </w:p>
    <w:p w14:paraId="7B897640" w14:textId="77777777" w:rsidR="001870DD" w:rsidRDefault="001870DD" w:rsidP="001870DD">
      <w:pPr>
        <w:rPr>
          <w:lang w:val="en-GB"/>
        </w:rPr>
      </w:pPr>
      <w:hyperlink r:id="rId17" w:history="1">
        <w:r w:rsidRPr="00F60259">
          <w:rPr>
            <w:rStyle w:val="Hyperlink"/>
            <w:lang w:val="en-GB"/>
          </w:rPr>
          <w:t>file:///C:/Users/Yaelf/Downloads/12679-Article%20Text-14103-2-10-20230522.pdf</w:t>
        </w:r>
      </w:hyperlink>
    </w:p>
    <w:p w14:paraId="22F187D7" w14:textId="68865D33" w:rsidR="00A5687E" w:rsidRDefault="00A5687E">
      <w:pPr>
        <w:rPr>
          <w:lang w:val="en-GB"/>
        </w:rPr>
      </w:pPr>
    </w:p>
    <w:p w14:paraId="5B6F715C" w14:textId="720B2A5B" w:rsidR="00181EFD" w:rsidRPr="001F05E8" w:rsidRDefault="001F05E8" w:rsidP="00181EFD">
      <w:pPr>
        <w:rPr>
          <w:b/>
          <w:bCs/>
        </w:rPr>
      </w:pPr>
      <w:proofErr w:type="spellStart"/>
      <w:r w:rsidRPr="001F05E8">
        <w:rPr>
          <w:b/>
          <w:bCs/>
        </w:rPr>
        <w:lastRenderedPageBreak/>
        <w:t>downregulated</w:t>
      </w:r>
      <w:proofErr w:type="spellEnd"/>
      <w:r w:rsidRPr="001F05E8">
        <w:rPr>
          <w:b/>
          <w:bCs/>
        </w:rPr>
        <w:t xml:space="preserve"> </w:t>
      </w:r>
    </w:p>
    <w:p w14:paraId="5D5CB5BB" w14:textId="77777777" w:rsidR="00181EFD" w:rsidRPr="00181EFD" w:rsidRDefault="00181EFD" w:rsidP="00181EFD">
      <w:pPr>
        <w:rPr>
          <w:b/>
          <w:bCs/>
          <w:lang w:val="en-GB"/>
        </w:rPr>
      </w:pPr>
      <w:r w:rsidRPr="001F5BF9">
        <w:rPr>
          <w:b/>
          <w:bCs/>
          <w:i/>
          <w:iCs/>
          <w:lang w:val="en-GB"/>
        </w:rPr>
        <w:t>MT-ND6</w:t>
      </w:r>
    </w:p>
    <w:p w14:paraId="48B4A292" w14:textId="77777777" w:rsidR="00181EFD" w:rsidRPr="00181EFD" w:rsidRDefault="00181EFD" w:rsidP="00181EFD">
      <w:pPr>
        <w:rPr>
          <w:lang w:val="en-GB"/>
        </w:rPr>
      </w:pPr>
      <w:r w:rsidRPr="001F5BF9">
        <w:rPr>
          <w:lang w:val="en-GB"/>
        </w:rPr>
        <w:t>Enables NADH dehydrogenase (ubiquinone) activity. Involved in mitochondrial electron transport, NADH to ubiquinone and mitochondrial respiratory chain complex I assembly.</w:t>
      </w:r>
      <w:r>
        <w:rPr>
          <w:lang w:val="en-GB"/>
        </w:rPr>
        <w:t xml:space="preserve"> </w:t>
      </w:r>
      <w:hyperlink r:id="rId18" w:history="1">
        <w:r w:rsidRPr="00F60259">
          <w:rPr>
            <w:rStyle w:val="Hyperlink"/>
            <w:lang w:val="en-GB"/>
          </w:rPr>
          <w:t>https://www.ncbi.n</w:t>
        </w:r>
        <w:r w:rsidRPr="00F60259">
          <w:rPr>
            <w:rStyle w:val="Hyperlink"/>
            <w:lang w:val="en-GB"/>
          </w:rPr>
          <w:t>l</w:t>
        </w:r>
        <w:r w:rsidRPr="00F60259">
          <w:rPr>
            <w:rStyle w:val="Hyperlink"/>
            <w:lang w:val="en-GB"/>
          </w:rPr>
          <w:t>m.nih.gov/gtr/genes/4541/</w:t>
        </w:r>
      </w:hyperlink>
    </w:p>
    <w:p w14:paraId="54CD9A7F" w14:textId="77777777" w:rsidR="00181EFD" w:rsidRPr="00994316" w:rsidRDefault="00181EFD" w:rsidP="00181EFD">
      <w:pPr>
        <w:rPr>
          <w:b/>
          <w:bCs/>
          <w:lang w:val="en-GB"/>
        </w:rPr>
      </w:pPr>
      <w:r w:rsidRPr="00994316">
        <w:rPr>
          <w:b/>
          <w:bCs/>
          <w:lang w:val="en-GB"/>
        </w:rPr>
        <w:t>SLC9A3R2</w:t>
      </w:r>
    </w:p>
    <w:p w14:paraId="6EACE3B5" w14:textId="77777777" w:rsidR="00181EFD" w:rsidRDefault="00181EFD" w:rsidP="00181EFD">
      <w:pPr>
        <w:rPr>
          <w:lang w:val="en-GB"/>
        </w:rPr>
      </w:pPr>
      <w:r w:rsidRPr="00994316">
        <w:rPr>
          <w:lang w:val="en-GB"/>
        </w:rPr>
        <w:t>SLC9A3R1, and SLC9A3R2 are related to inflammation and arthritis strengthens our findings that these proteins reflect the arthritic process. SLC9A3R2 is a negative regulator of endothelial proliferation (33), and SLC9A3R1 is involved in the positive regulation of NF-kB in vascular inflammation and in the IL-6 production in human smooth muscle cells (34). SLC9A3R1 and SLC9A3R2 connect plasma membrane proteins with members of the ezrin/</w:t>
      </w:r>
      <w:proofErr w:type="spellStart"/>
      <w:r w:rsidRPr="00994316">
        <w:rPr>
          <w:lang w:val="en-GB"/>
        </w:rPr>
        <w:t>moesin</w:t>
      </w:r>
      <w:proofErr w:type="spellEnd"/>
      <w:r w:rsidRPr="00994316">
        <w:rPr>
          <w:lang w:val="en-GB"/>
        </w:rPr>
        <w:t xml:space="preserve">/radixin family, thereby helping to link them to the actin cytoskeleton and to regulate their surface expression. This may also explain the high degree of discordance between PGA-VAS and physician global assessment of RA (35), as, for example, muscle function is not included in the clinical assessment of RA </w:t>
      </w:r>
      <w:hyperlink r:id="rId19" w:history="1">
        <w:r w:rsidRPr="00F60259">
          <w:rPr>
            <w:rStyle w:val="Hyperlink"/>
            <w:lang w:val="en-GB"/>
          </w:rPr>
          <w:t>file:///C:/</w:t>
        </w:r>
        <w:r w:rsidRPr="00F60259">
          <w:rPr>
            <w:rStyle w:val="Hyperlink"/>
            <w:lang w:val="en-GB"/>
          </w:rPr>
          <w:t>U</w:t>
        </w:r>
        <w:r w:rsidRPr="00F60259">
          <w:rPr>
            <w:rStyle w:val="Hyperlink"/>
            <w:lang w:val="en-GB"/>
          </w:rPr>
          <w:t>sers/Yaelf/Downloads/fmed-10-1247778.pdf</w:t>
        </w:r>
      </w:hyperlink>
    </w:p>
    <w:p w14:paraId="79A89455" w14:textId="77777777" w:rsidR="00181EFD" w:rsidRPr="00E33CBB" w:rsidRDefault="00181EFD" w:rsidP="00181EFD">
      <w:pPr>
        <w:rPr>
          <w:b/>
          <w:bCs/>
          <w:lang w:val="en-GB"/>
        </w:rPr>
      </w:pPr>
      <w:r w:rsidRPr="00E33CBB">
        <w:rPr>
          <w:b/>
          <w:bCs/>
          <w:lang w:val="en-GB"/>
        </w:rPr>
        <w:t>ZNF598</w:t>
      </w:r>
    </w:p>
    <w:p w14:paraId="534F6B34" w14:textId="77777777" w:rsidR="00181EFD" w:rsidRDefault="00181EFD" w:rsidP="00181EFD">
      <w:pPr>
        <w:rPr>
          <w:lang w:val="en-GB"/>
        </w:rPr>
      </w:pPr>
      <w:r w:rsidRPr="00E33CBB">
        <w:rPr>
          <w:lang w:val="en-GB"/>
        </w:rPr>
        <w:t>Increased ribosome stalling raises the chance of ribosome collision, which triggers various ribosome quality control (RQC) pathways. This involves the activation of the ribosome-associated E3 ligase ZNF598, which ubiquitinates small subunit proteins at the stalled ribosomes and recruits other RQC factors to dissociate the aberrant translation intermediates on the transcripts (</w:t>
      </w:r>
      <w:hyperlink r:id="rId20" w:anchor="R53" w:history="1">
        <w:r w:rsidRPr="00E33CBB">
          <w:rPr>
            <w:rStyle w:val="Hyperlink"/>
            <w:lang w:val="en-GB"/>
          </w:rPr>
          <w:t>53</w:t>
        </w:r>
      </w:hyperlink>
      <w:r w:rsidRPr="00E33CBB">
        <w:rPr>
          <w:lang w:val="en-GB"/>
        </w:rPr>
        <w:t>, </w:t>
      </w:r>
      <w:hyperlink r:id="rId21" w:anchor="R54" w:history="1">
        <w:r w:rsidRPr="00E33CBB">
          <w:rPr>
            <w:rStyle w:val="Hyperlink"/>
            <w:lang w:val="en-GB"/>
          </w:rPr>
          <w:t>54</w:t>
        </w:r>
      </w:hyperlink>
      <w:r w:rsidRPr="00E33CBB">
        <w:rPr>
          <w:lang w:val="en-GB"/>
        </w:rPr>
        <w:t xml:space="preserve">). If not resolved, the prolonged stalling will induce global stress response </w:t>
      </w:r>
      <w:proofErr w:type="spellStart"/>
      <w:r w:rsidRPr="00E33CBB">
        <w:rPr>
          <w:lang w:val="en-GB"/>
        </w:rPr>
        <w:t>signaling</w:t>
      </w:r>
      <w:proofErr w:type="spellEnd"/>
      <w:r w:rsidRPr="00E33CBB">
        <w:rPr>
          <w:lang w:val="en-GB"/>
        </w:rPr>
        <w:t xml:space="preserve"> pathways</w:t>
      </w:r>
      <w:r>
        <w:rPr>
          <w:lang w:val="en-GB"/>
        </w:rPr>
        <w:t xml:space="preserve"> </w:t>
      </w:r>
      <w:hyperlink r:id="rId22" w:history="1">
        <w:r w:rsidRPr="00F60259">
          <w:rPr>
            <w:rStyle w:val="Hyperlink"/>
            <w:lang w:val="en-GB"/>
          </w:rPr>
          <w:t>https://pmc.ncbi.nlm.nih.gov/articles/PMC11466505/</w:t>
        </w:r>
      </w:hyperlink>
    </w:p>
    <w:p w14:paraId="7153217C" w14:textId="77777777" w:rsidR="001F05E8" w:rsidRPr="001F05E8" w:rsidRDefault="001F05E8" w:rsidP="001F05E8">
      <w:pPr>
        <w:rPr>
          <w:b/>
          <w:bCs/>
          <w:lang w:val="en-GB"/>
        </w:rPr>
      </w:pPr>
      <w:proofErr w:type="spellStart"/>
      <w:r w:rsidRPr="001F05E8">
        <w:rPr>
          <w:b/>
          <w:bCs/>
          <w:lang w:val="en-GB"/>
        </w:rPr>
        <w:t>Uprgulated</w:t>
      </w:r>
      <w:proofErr w:type="spellEnd"/>
    </w:p>
    <w:p w14:paraId="1D388870" w14:textId="77777777" w:rsidR="001F05E8" w:rsidRPr="001F05E8" w:rsidRDefault="001F05E8" w:rsidP="001F05E8">
      <w:pPr>
        <w:rPr>
          <w:b/>
          <w:bCs/>
          <w:lang w:val="en-GB"/>
        </w:rPr>
      </w:pPr>
      <w:r w:rsidRPr="001F05E8">
        <w:rPr>
          <w:b/>
          <w:bCs/>
          <w:lang w:val="en-GB"/>
        </w:rPr>
        <w:t>SRGN</w:t>
      </w:r>
    </w:p>
    <w:p w14:paraId="1CD6FAF2" w14:textId="77777777" w:rsidR="001F05E8" w:rsidRDefault="001F05E8" w:rsidP="001F05E8">
      <w:pPr>
        <w:rPr>
          <w:lang w:val="en-GB"/>
        </w:rPr>
      </w:pPr>
      <w:r w:rsidRPr="00B32847">
        <w:rPr>
          <w:lang w:val="en-GB"/>
        </w:rPr>
        <w:t xml:space="preserve">SRGN encodes the proteoglycan protein, and is mainly expressed in hematopoietic cells. Many studies have confirmed that SRGN promotes </w:t>
      </w:r>
      <w:proofErr w:type="spellStart"/>
      <w:r w:rsidRPr="00B32847">
        <w:rPr>
          <w:lang w:val="en-GB"/>
        </w:rPr>
        <w:t>tumor</w:t>
      </w:r>
      <w:proofErr w:type="spellEnd"/>
      <w:r w:rsidRPr="00B32847">
        <w:rPr>
          <w:lang w:val="en-GB"/>
        </w:rPr>
        <w:t xml:space="preserve"> invasion and metastasis in colorectal cancer, non-small cell lung cancers, multiple myeloma, nasopharyngeal carcinoma, and breast cancer (Li et al., 2011; </w:t>
      </w:r>
      <w:proofErr w:type="spellStart"/>
      <w:r w:rsidRPr="00B32847">
        <w:rPr>
          <w:lang w:val="en-GB"/>
        </w:rPr>
        <w:t>Korpetinou</w:t>
      </w:r>
      <w:proofErr w:type="spellEnd"/>
      <w:r w:rsidRPr="00B32847">
        <w:rPr>
          <w:lang w:val="en-GB"/>
        </w:rPr>
        <w:t xml:space="preserve"> et al., 2013; Purushothaman and Toole, 2014; Guo et al., 2017; Xu et al., 2018). SRGN is also involved in inflammatory processes through the regulation of numerous inflammatory mediators such as TNF-</w:t>
      </w:r>
      <w:r w:rsidRPr="00B32847">
        <w:t>α</w:t>
      </w:r>
      <w:r w:rsidRPr="00B32847">
        <w:rPr>
          <w:lang w:val="en-GB"/>
        </w:rPr>
        <w:t>, and activating the NF-</w:t>
      </w:r>
      <w:r w:rsidRPr="00B32847">
        <w:t>κ</w:t>
      </w:r>
      <w:r w:rsidRPr="00B32847">
        <w:rPr>
          <w:lang w:val="en-GB"/>
        </w:rPr>
        <w:t xml:space="preserve">B </w:t>
      </w:r>
      <w:proofErr w:type="spellStart"/>
      <w:r w:rsidRPr="00B32847">
        <w:rPr>
          <w:lang w:val="en-GB"/>
        </w:rPr>
        <w:t>signaling</w:t>
      </w:r>
      <w:proofErr w:type="spellEnd"/>
      <w:r w:rsidRPr="00B32847">
        <w:rPr>
          <w:lang w:val="en-GB"/>
        </w:rPr>
        <w:t xml:space="preserve"> pathway (Zernichow et al., 2006; </w:t>
      </w:r>
      <w:proofErr w:type="spellStart"/>
      <w:r w:rsidRPr="00B32847">
        <w:rPr>
          <w:lang w:val="en-GB"/>
        </w:rPr>
        <w:t>Korpetinou</w:t>
      </w:r>
      <w:proofErr w:type="spellEnd"/>
      <w:r w:rsidRPr="00B32847">
        <w:rPr>
          <w:lang w:val="en-GB"/>
        </w:rPr>
        <w:t xml:space="preserve"> et al., 2014; </w:t>
      </w:r>
      <w:proofErr w:type="spellStart"/>
      <w:r w:rsidRPr="00B32847">
        <w:rPr>
          <w:lang w:val="en-GB"/>
        </w:rPr>
        <w:t>Scuruchi</w:t>
      </w:r>
      <w:proofErr w:type="spellEnd"/>
      <w:r w:rsidRPr="00B32847">
        <w:rPr>
          <w:lang w:val="en-GB"/>
        </w:rPr>
        <w:t xml:space="preserve"> et al., 2019). These processes caused by the combination of SRGN and CD44 receptor, could promote inflammation</w:t>
      </w:r>
    </w:p>
    <w:p w14:paraId="7E65C99C" w14:textId="77777777" w:rsidR="001F05E8" w:rsidRPr="001F05E8" w:rsidRDefault="001F05E8" w:rsidP="001F05E8">
      <w:pPr>
        <w:rPr>
          <w:lang w:val="en-GB"/>
        </w:rPr>
      </w:pPr>
      <w:hyperlink r:id="rId23" w:history="1">
        <w:r w:rsidRPr="00B778F8">
          <w:rPr>
            <w:rStyle w:val="Hyperlink"/>
            <w:lang w:val="en-GB"/>
          </w:rPr>
          <w:t>file:///C:/Users/Yaelf/Downloads/fge</w:t>
        </w:r>
        <w:r w:rsidRPr="00B778F8">
          <w:rPr>
            <w:rStyle w:val="Hyperlink"/>
            <w:lang w:val="en-GB"/>
          </w:rPr>
          <w:t>n</w:t>
        </w:r>
        <w:r w:rsidRPr="00B778F8">
          <w:rPr>
            <w:rStyle w:val="Hyperlink"/>
            <w:lang w:val="en-GB"/>
          </w:rPr>
          <w:t>e-11-572194%20(1).pdf</w:t>
        </w:r>
      </w:hyperlink>
    </w:p>
    <w:p w14:paraId="21F4729D" w14:textId="77777777" w:rsidR="001F05E8" w:rsidRPr="001F05E8" w:rsidRDefault="001F05E8" w:rsidP="001F05E8">
      <w:pPr>
        <w:rPr>
          <w:b/>
          <w:bCs/>
          <w:lang w:val="en-GB"/>
        </w:rPr>
      </w:pPr>
      <w:r w:rsidRPr="001F05E8">
        <w:rPr>
          <w:b/>
          <w:bCs/>
          <w:lang w:val="en-GB"/>
        </w:rPr>
        <w:t>BCL2A1</w:t>
      </w:r>
    </w:p>
    <w:p w14:paraId="39DDBE23" w14:textId="77777777" w:rsidR="001F05E8" w:rsidRPr="00725DD8" w:rsidRDefault="001F05E8" w:rsidP="001F05E8">
      <w:pPr>
        <w:rPr>
          <w:lang w:val="en-GB"/>
        </w:rPr>
      </w:pPr>
      <w:r w:rsidRPr="00725DD8">
        <w:rPr>
          <w:lang w:val="en-GB"/>
        </w:rPr>
        <w:t>BCL2A1 is a member of the BCL-2 family of anti-apoptotic proteins and one of the less well-studied anti-apoptotic</w:t>
      </w:r>
      <w:r>
        <w:rPr>
          <w:lang w:val="en-GB"/>
        </w:rPr>
        <w:t xml:space="preserve"> </w:t>
      </w:r>
      <w:r w:rsidRPr="00725DD8">
        <w:rPr>
          <w:lang w:val="en-GB"/>
        </w:rPr>
        <w:t>BCL2 proteins</w:t>
      </w:r>
      <w:r>
        <w:rPr>
          <w:lang w:val="en-GB"/>
        </w:rPr>
        <w:t xml:space="preserve"> </w:t>
      </w:r>
      <w:r w:rsidRPr="00725DD8">
        <w:rPr>
          <w:lang w:val="en-GB"/>
        </w:rPr>
        <w:sym w:font="Wingdings" w:char="F0E0"/>
      </w:r>
      <w:r>
        <w:rPr>
          <w:lang w:val="en-GB"/>
        </w:rPr>
        <w:t xml:space="preserve"> </w:t>
      </w:r>
      <w:proofErr w:type="spellStart"/>
      <w:r>
        <w:rPr>
          <w:lang w:val="en-GB"/>
        </w:rPr>
        <w:t>stoppen</w:t>
      </w:r>
      <w:proofErr w:type="spellEnd"/>
      <w:r>
        <w:rPr>
          <w:lang w:val="en-GB"/>
        </w:rPr>
        <w:t xml:space="preserve"> </w:t>
      </w:r>
      <w:proofErr w:type="spellStart"/>
      <w:r>
        <w:rPr>
          <w:lang w:val="en-GB"/>
        </w:rPr>
        <w:t>apoptose</w:t>
      </w:r>
      <w:proofErr w:type="spellEnd"/>
      <w:r>
        <w:rPr>
          <w:lang w:val="en-GB"/>
        </w:rPr>
        <w:t xml:space="preserve"> </w:t>
      </w:r>
      <w:proofErr w:type="spellStart"/>
      <w:r>
        <w:rPr>
          <w:lang w:val="en-GB"/>
        </w:rPr>
        <w:t>waardoor</w:t>
      </w:r>
      <w:proofErr w:type="spellEnd"/>
      <w:r>
        <w:rPr>
          <w:lang w:val="en-GB"/>
        </w:rPr>
        <w:t xml:space="preserve"> </w:t>
      </w:r>
      <w:proofErr w:type="spellStart"/>
      <w:r>
        <w:rPr>
          <w:lang w:val="en-GB"/>
        </w:rPr>
        <w:t>schadelike</w:t>
      </w:r>
      <w:proofErr w:type="spellEnd"/>
      <w:r>
        <w:rPr>
          <w:lang w:val="en-GB"/>
        </w:rPr>
        <w:t xml:space="preserve"> </w:t>
      </w:r>
      <w:proofErr w:type="spellStart"/>
      <w:r>
        <w:rPr>
          <w:lang w:val="en-GB"/>
        </w:rPr>
        <w:t>cellen</w:t>
      </w:r>
      <w:proofErr w:type="spellEnd"/>
      <w:r>
        <w:rPr>
          <w:lang w:val="en-GB"/>
        </w:rPr>
        <w:t xml:space="preserve"> langer </w:t>
      </w:r>
      <w:proofErr w:type="spellStart"/>
      <w:r>
        <w:rPr>
          <w:lang w:val="en-GB"/>
        </w:rPr>
        <w:t>leven</w:t>
      </w:r>
      <w:proofErr w:type="spellEnd"/>
    </w:p>
    <w:p w14:paraId="0AD41B09" w14:textId="77777777" w:rsidR="001F05E8" w:rsidRDefault="001F05E8" w:rsidP="001F05E8">
      <w:pPr>
        <w:rPr>
          <w:lang w:val="en-GB"/>
        </w:rPr>
      </w:pPr>
      <w:hyperlink r:id="rId24" w:history="1">
        <w:r w:rsidRPr="00F60259">
          <w:rPr>
            <w:rStyle w:val="Hyperlink"/>
            <w:lang w:val="en-GB"/>
          </w:rPr>
          <w:t>http</w:t>
        </w:r>
        <w:r w:rsidRPr="00F60259">
          <w:rPr>
            <w:rStyle w:val="Hyperlink"/>
            <w:lang w:val="en-GB"/>
          </w:rPr>
          <w:t>s</w:t>
        </w:r>
        <w:r w:rsidRPr="00F60259">
          <w:rPr>
            <w:rStyle w:val="Hyperlink"/>
            <w:lang w:val="en-GB"/>
          </w:rPr>
          <w:t>://pmc.ncbi.nlm.nih.gov/articles/PMC10637801/pdf/aging-15-205149.pdf</w:t>
        </w:r>
      </w:hyperlink>
    </w:p>
    <w:p w14:paraId="5A932E98" w14:textId="77777777" w:rsidR="00181EFD" w:rsidRPr="006D13B2" w:rsidRDefault="00181EFD">
      <w:pPr>
        <w:rPr>
          <w:lang w:val="en-GB"/>
        </w:rPr>
      </w:pPr>
    </w:p>
    <w:sectPr w:rsidR="00181EFD" w:rsidRPr="006D13B2" w:rsidSect="009024C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553448F"/>
    <w:multiLevelType w:val="hybridMultilevel"/>
    <w:tmpl w:val="BA52579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4C4835CD"/>
    <w:multiLevelType w:val="multilevel"/>
    <w:tmpl w:val="57B2C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131D52"/>
    <w:multiLevelType w:val="hybridMultilevel"/>
    <w:tmpl w:val="EBC6B2E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7ACB7F2B"/>
    <w:multiLevelType w:val="hybridMultilevel"/>
    <w:tmpl w:val="6BC86E8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7BBD4EF9"/>
    <w:multiLevelType w:val="hybridMultilevel"/>
    <w:tmpl w:val="1FDA2F0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8327771">
    <w:abstractNumId w:val="3"/>
  </w:num>
  <w:num w:numId="2" w16cid:durableId="1225792723">
    <w:abstractNumId w:val="2"/>
  </w:num>
  <w:num w:numId="3" w16cid:durableId="208341360">
    <w:abstractNumId w:val="0"/>
  </w:num>
  <w:num w:numId="4" w16cid:durableId="2020619430">
    <w:abstractNumId w:val="4"/>
  </w:num>
  <w:num w:numId="5" w16cid:durableId="21213357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0DF"/>
    <w:rsid w:val="00007181"/>
    <w:rsid w:val="000214E4"/>
    <w:rsid w:val="000443A9"/>
    <w:rsid w:val="00076574"/>
    <w:rsid w:val="00082FA6"/>
    <w:rsid w:val="001218EF"/>
    <w:rsid w:val="00181EFD"/>
    <w:rsid w:val="00182E49"/>
    <w:rsid w:val="001834E4"/>
    <w:rsid w:val="001861D7"/>
    <w:rsid w:val="001870DD"/>
    <w:rsid w:val="001C2174"/>
    <w:rsid w:val="001D027C"/>
    <w:rsid w:val="001E21EE"/>
    <w:rsid w:val="001F05E8"/>
    <w:rsid w:val="001F5BF9"/>
    <w:rsid w:val="0020435E"/>
    <w:rsid w:val="002354F7"/>
    <w:rsid w:val="00240B48"/>
    <w:rsid w:val="0025505D"/>
    <w:rsid w:val="00261996"/>
    <w:rsid w:val="00277778"/>
    <w:rsid w:val="002F1A5B"/>
    <w:rsid w:val="00312FFB"/>
    <w:rsid w:val="00365D32"/>
    <w:rsid w:val="003A05A0"/>
    <w:rsid w:val="003A6944"/>
    <w:rsid w:val="00417935"/>
    <w:rsid w:val="00427202"/>
    <w:rsid w:val="00452314"/>
    <w:rsid w:val="004E1724"/>
    <w:rsid w:val="0050782F"/>
    <w:rsid w:val="0054276C"/>
    <w:rsid w:val="005810CE"/>
    <w:rsid w:val="005A7C04"/>
    <w:rsid w:val="005C20DF"/>
    <w:rsid w:val="005F6E3C"/>
    <w:rsid w:val="00600734"/>
    <w:rsid w:val="0061523A"/>
    <w:rsid w:val="00636BFE"/>
    <w:rsid w:val="00657883"/>
    <w:rsid w:val="006651FB"/>
    <w:rsid w:val="00680D12"/>
    <w:rsid w:val="00697E63"/>
    <w:rsid w:val="006B5278"/>
    <w:rsid w:val="006C04AF"/>
    <w:rsid w:val="006D13B2"/>
    <w:rsid w:val="006D7181"/>
    <w:rsid w:val="00725DD8"/>
    <w:rsid w:val="007518B2"/>
    <w:rsid w:val="00751DDC"/>
    <w:rsid w:val="00776023"/>
    <w:rsid w:val="007C0AC7"/>
    <w:rsid w:val="007E3107"/>
    <w:rsid w:val="00855DDC"/>
    <w:rsid w:val="008824DC"/>
    <w:rsid w:val="008B0A28"/>
    <w:rsid w:val="008E71DE"/>
    <w:rsid w:val="009024CE"/>
    <w:rsid w:val="00916871"/>
    <w:rsid w:val="00924E7B"/>
    <w:rsid w:val="009518BE"/>
    <w:rsid w:val="00953871"/>
    <w:rsid w:val="009555D4"/>
    <w:rsid w:val="00994316"/>
    <w:rsid w:val="0099498B"/>
    <w:rsid w:val="009E06A2"/>
    <w:rsid w:val="00A10B89"/>
    <w:rsid w:val="00A154B2"/>
    <w:rsid w:val="00A5687E"/>
    <w:rsid w:val="00A6236C"/>
    <w:rsid w:val="00AA1616"/>
    <w:rsid w:val="00AB4906"/>
    <w:rsid w:val="00AC3DC4"/>
    <w:rsid w:val="00B047D2"/>
    <w:rsid w:val="00B32847"/>
    <w:rsid w:val="00B565CF"/>
    <w:rsid w:val="00B57968"/>
    <w:rsid w:val="00B80D8B"/>
    <w:rsid w:val="00B96539"/>
    <w:rsid w:val="00BB49CD"/>
    <w:rsid w:val="00C2199E"/>
    <w:rsid w:val="00C36DB2"/>
    <w:rsid w:val="00C57289"/>
    <w:rsid w:val="00C763D9"/>
    <w:rsid w:val="00C8534A"/>
    <w:rsid w:val="00CE4770"/>
    <w:rsid w:val="00CF7ABD"/>
    <w:rsid w:val="00DE16F5"/>
    <w:rsid w:val="00E33CBB"/>
    <w:rsid w:val="00E4768F"/>
    <w:rsid w:val="00E75C2D"/>
    <w:rsid w:val="00E858D1"/>
    <w:rsid w:val="00E97B79"/>
    <w:rsid w:val="00EB4455"/>
    <w:rsid w:val="00EC45FF"/>
    <w:rsid w:val="00F33944"/>
    <w:rsid w:val="00F355C3"/>
    <w:rsid w:val="00F854AE"/>
    <w:rsid w:val="00FC2E58"/>
    <w:rsid w:val="00FF533F"/>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DC341"/>
  <w15:chartTrackingRefBased/>
  <w15:docId w15:val="{40A03AB3-66FA-4A89-9896-7DE7A837F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5C20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5C20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5C20DF"/>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5C20DF"/>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5C20DF"/>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5C20DF"/>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5C20DF"/>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5C20DF"/>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5C20DF"/>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C20DF"/>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5C20DF"/>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5C20DF"/>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5C20DF"/>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5C20DF"/>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5C20DF"/>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5C20DF"/>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5C20DF"/>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5C20DF"/>
    <w:rPr>
      <w:rFonts w:eastAsiaTheme="majorEastAsia" w:cstheme="majorBidi"/>
      <w:color w:val="272727" w:themeColor="text1" w:themeTint="D8"/>
    </w:rPr>
  </w:style>
  <w:style w:type="paragraph" w:styleId="Titel">
    <w:name w:val="Title"/>
    <w:basedOn w:val="Standaard"/>
    <w:next w:val="Standaard"/>
    <w:link w:val="TitelChar"/>
    <w:uiPriority w:val="10"/>
    <w:qFormat/>
    <w:rsid w:val="005C20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5C20DF"/>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5C20DF"/>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5C20DF"/>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5C20DF"/>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5C20DF"/>
    <w:rPr>
      <w:i/>
      <w:iCs/>
      <w:color w:val="404040" w:themeColor="text1" w:themeTint="BF"/>
    </w:rPr>
  </w:style>
  <w:style w:type="paragraph" w:styleId="Lijstalinea">
    <w:name w:val="List Paragraph"/>
    <w:basedOn w:val="Standaard"/>
    <w:uiPriority w:val="34"/>
    <w:qFormat/>
    <w:rsid w:val="005C20DF"/>
    <w:pPr>
      <w:ind w:left="720"/>
      <w:contextualSpacing/>
    </w:pPr>
  </w:style>
  <w:style w:type="character" w:styleId="Intensievebenadrukking">
    <w:name w:val="Intense Emphasis"/>
    <w:basedOn w:val="Standaardalinea-lettertype"/>
    <w:uiPriority w:val="21"/>
    <w:qFormat/>
    <w:rsid w:val="005C20DF"/>
    <w:rPr>
      <w:i/>
      <w:iCs/>
      <w:color w:val="0F4761" w:themeColor="accent1" w:themeShade="BF"/>
    </w:rPr>
  </w:style>
  <w:style w:type="paragraph" w:styleId="Duidelijkcitaat">
    <w:name w:val="Intense Quote"/>
    <w:basedOn w:val="Standaard"/>
    <w:next w:val="Standaard"/>
    <w:link w:val="DuidelijkcitaatChar"/>
    <w:uiPriority w:val="30"/>
    <w:qFormat/>
    <w:rsid w:val="005C20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5C20DF"/>
    <w:rPr>
      <w:i/>
      <w:iCs/>
      <w:color w:val="0F4761" w:themeColor="accent1" w:themeShade="BF"/>
    </w:rPr>
  </w:style>
  <w:style w:type="character" w:styleId="Intensieveverwijzing">
    <w:name w:val="Intense Reference"/>
    <w:basedOn w:val="Standaardalinea-lettertype"/>
    <w:uiPriority w:val="32"/>
    <w:qFormat/>
    <w:rsid w:val="005C20DF"/>
    <w:rPr>
      <w:b/>
      <w:bCs/>
      <w:smallCaps/>
      <w:color w:val="0F4761" w:themeColor="accent1" w:themeShade="BF"/>
      <w:spacing w:val="5"/>
    </w:rPr>
  </w:style>
  <w:style w:type="character" w:styleId="Hyperlink">
    <w:name w:val="Hyperlink"/>
    <w:basedOn w:val="Standaardalinea-lettertype"/>
    <w:uiPriority w:val="99"/>
    <w:unhideWhenUsed/>
    <w:rsid w:val="00E858D1"/>
    <w:rPr>
      <w:color w:val="467886" w:themeColor="hyperlink"/>
      <w:u w:val="single"/>
    </w:rPr>
  </w:style>
  <w:style w:type="character" w:styleId="Onopgelostemelding">
    <w:name w:val="Unresolved Mention"/>
    <w:basedOn w:val="Standaardalinea-lettertype"/>
    <w:uiPriority w:val="99"/>
    <w:semiHidden/>
    <w:unhideWhenUsed/>
    <w:rsid w:val="00E858D1"/>
    <w:rPr>
      <w:color w:val="605E5C"/>
      <w:shd w:val="clear" w:color="auto" w:fill="E1DFDD"/>
    </w:rPr>
  </w:style>
  <w:style w:type="paragraph" w:styleId="Normaalweb">
    <w:name w:val="Normal (Web)"/>
    <w:basedOn w:val="Standaard"/>
    <w:uiPriority w:val="99"/>
    <w:semiHidden/>
    <w:unhideWhenUsed/>
    <w:rsid w:val="00E97B79"/>
    <w:rPr>
      <w:rFonts w:ascii="Times New Roman" w:hAnsi="Times New Roman" w:cs="Times New Roman"/>
      <w:sz w:val="24"/>
      <w:szCs w:val="24"/>
    </w:rPr>
  </w:style>
  <w:style w:type="paragraph" w:styleId="Bibliografie">
    <w:name w:val="Bibliography"/>
    <w:basedOn w:val="Standaard"/>
    <w:next w:val="Standaard"/>
    <w:uiPriority w:val="37"/>
    <w:unhideWhenUsed/>
    <w:rsid w:val="00240B48"/>
    <w:pPr>
      <w:spacing w:after="0" w:line="480" w:lineRule="auto"/>
      <w:ind w:left="720" w:hanging="720"/>
    </w:pPr>
  </w:style>
  <w:style w:type="character" w:styleId="GevolgdeHyperlink">
    <w:name w:val="FollowedHyperlink"/>
    <w:basedOn w:val="Standaardalinea-lettertype"/>
    <w:uiPriority w:val="99"/>
    <w:semiHidden/>
    <w:unhideWhenUsed/>
    <w:rsid w:val="0054276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254988">
      <w:bodyDiv w:val="1"/>
      <w:marLeft w:val="0"/>
      <w:marRight w:val="0"/>
      <w:marTop w:val="0"/>
      <w:marBottom w:val="0"/>
      <w:divBdr>
        <w:top w:val="none" w:sz="0" w:space="0" w:color="auto"/>
        <w:left w:val="none" w:sz="0" w:space="0" w:color="auto"/>
        <w:bottom w:val="none" w:sz="0" w:space="0" w:color="auto"/>
        <w:right w:val="none" w:sz="0" w:space="0" w:color="auto"/>
      </w:divBdr>
      <w:divsChild>
        <w:div w:id="670755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339910">
      <w:bodyDiv w:val="1"/>
      <w:marLeft w:val="0"/>
      <w:marRight w:val="0"/>
      <w:marTop w:val="0"/>
      <w:marBottom w:val="0"/>
      <w:divBdr>
        <w:top w:val="none" w:sz="0" w:space="0" w:color="auto"/>
        <w:left w:val="none" w:sz="0" w:space="0" w:color="auto"/>
        <w:bottom w:val="none" w:sz="0" w:space="0" w:color="auto"/>
        <w:right w:val="none" w:sz="0" w:space="0" w:color="auto"/>
      </w:divBdr>
    </w:div>
    <w:div w:id="165749623">
      <w:bodyDiv w:val="1"/>
      <w:marLeft w:val="0"/>
      <w:marRight w:val="0"/>
      <w:marTop w:val="0"/>
      <w:marBottom w:val="0"/>
      <w:divBdr>
        <w:top w:val="none" w:sz="0" w:space="0" w:color="auto"/>
        <w:left w:val="none" w:sz="0" w:space="0" w:color="auto"/>
        <w:bottom w:val="none" w:sz="0" w:space="0" w:color="auto"/>
        <w:right w:val="none" w:sz="0" w:space="0" w:color="auto"/>
      </w:divBdr>
    </w:div>
    <w:div w:id="268007379">
      <w:bodyDiv w:val="1"/>
      <w:marLeft w:val="0"/>
      <w:marRight w:val="0"/>
      <w:marTop w:val="0"/>
      <w:marBottom w:val="0"/>
      <w:divBdr>
        <w:top w:val="none" w:sz="0" w:space="0" w:color="auto"/>
        <w:left w:val="none" w:sz="0" w:space="0" w:color="auto"/>
        <w:bottom w:val="none" w:sz="0" w:space="0" w:color="auto"/>
        <w:right w:val="none" w:sz="0" w:space="0" w:color="auto"/>
      </w:divBdr>
    </w:div>
    <w:div w:id="277571133">
      <w:bodyDiv w:val="1"/>
      <w:marLeft w:val="0"/>
      <w:marRight w:val="0"/>
      <w:marTop w:val="0"/>
      <w:marBottom w:val="0"/>
      <w:divBdr>
        <w:top w:val="none" w:sz="0" w:space="0" w:color="auto"/>
        <w:left w:val="none" w:sz="0" w:space="0" w:color="auto"/>
        <w:bottom w:val="none" w:sz="0" w:space="0" w:color="auto"/>
        <w:right w:val="none" w:sz="0" w:space="0" w:color="auto"/>
      </w:divBdr>
    </w:div>
    <w:div w:id="322242271">
      <w:bodyDiv w:val="1"/>
      <w:marLeft w:val="0"/>
      <w:marRight w:val="0"/>
      <w:marTop w:val="0"/>
      <w:marBottom w:val="0"/>
      <w:divBdr>
        <w:top w:val="none" w:sz="0" w:space="0" w:color="auto"/>
        <w:left w:val="none" w:sz="0" w:space="0" w:color="auto"/>
        <w:bottom w:val="none" w:sz="0" w:space="0" w:color="auto"/>
        <w:right w:val="none" w:sz="0" w:space="0" w:color="auto"/>
      </w:divBdr>
    </w:div>
    <w:div w:id="324892739">
      <w:bodyDiv w:val="1"/>
      <w:marLeft w:val="0"/>
      <w:marRight w:val="0"/>
      <w:marTop w:val="0"/>
      <w:marBottom w:val="0"/>
      <w:divBdr>
        <w:top w:val="none" w:sz="0" w:space="0" w:color="auto"/>
        <w:left w:val="none" w:sz="0" w:space="0" w:color="auto"/>
        <w:bottom w:val="none" w:sz="0" w:space="0" w:color="auto"/>
        <w:right w:val="none" w:sz="0" w:space="0" w:color="auto"/>
      </w:divBdr>
    </w:div>
    <w:div w:id="409620557">
      <w:bodyDiv w:val="1"/>
      <w:marLeft w:val="0"/>
      <w:marRight w:val="0"/>
      <w:marTop w:val="0"/>
      <w:marBottom w:val="0"/>
      <w:divBdr>
        <w:top w:val="none" w:sz="0" w:space="0" w:color="auto"/>
        <w:left w:val="none" w:sz="0" w:space="0" w:color="auto"/>
        <w:bottom w:val="none" w:sz="0" w:space="0" w:color="auto"/>
        <w:right w:val="none" w:sz="0" w:space="0" w:color="auto"/>
      </w:divBdr>
    </w:div>
    <w:div w:id="436829916">
      <w:bodyDiv w:val="1"/>
      <w:marLeft w:val="0"/>
      <w:marRight w:val="0"/>
      <w:marTop w:val="0"/>
      <w:marBottom w:val="0"/>
      <w:divBdr>
        <w:top w:val="none" w:sz="0" w:space="0" w:color="auto"/>
        <w:left w:val="none" w:sz="0" w:space="0" w:color="auto"/>
        <w:bottom w:val="none" w:sz="0" w:space="0" w:color="auto"/>
        <w:right w:val="none" w:sz="0" w:space="0" w:color="auto"/>
      </w:divBdr>
    </w:div>
    <w:div w:id="455294891">
      <w:bodyDiv w:val="1"/>
      <w:marLeft w:val="0"/>
      <w:marRight w:val="0"/>
      <w:marTop w:val="0"/>
      <w:marBottom w:val="0"/>
      <w:divBdr>
        <w:top w:val="none" w:sz="0" w:space="0" w:color="auto"/>
        <w:left w:val="none" w:sz="0" w:space="0" w:color="auto"/>
        <w:bottom w:val="none" w:sz="0" w:space="0" w:color="auto"/>
        <w:right w:val="none" w:sz="0" w:space="0" w:color="auto"/>
      </w:divBdr>
    </w:div>
    <w:div w:id="472874945">
      <w:bodyDiv w:val="1"/>
      <w:marLeft w:val="0"/>
      <w:marRight w:val="0"/>
      <w:marTop w:val="0"/>
      <w:marBottom w:val="0"/>
      <w:divBdr>
        <w:top w:val="none" w:sz="0" w:space="0" w:color="auto"/>
        <w:left w:val="none" w:sz="0" w:space="0" w:color="auto"/>
        <w:bottom w:val="none" w:sz="0" w:space="0" w:color="auto"/>
        <w:right w:val="none" w:sz="0" w:space="0" w:color="auto"/>
      </w:divBdr>
    </w:div>
    <w:div w:id="546724278">
      <w:bodyDiv w:val="1"/>
      <w:marLeft w:val="0"/>
      <w:marRight w:val="0"/>
      <w:marTop w:val="0"/>
      <w:marBottom w:val="0"/>
      <w:divBdr>
        <w:top w:val="none" w:sz="0" w:space="0" w:color="auto"/>
        <w:left w:val="none" w:sz="0" w:space="0" w:color="auto"/>
        <w:bottom w:val="none" w:sz="0" w:space="0" w:color="auto"/>
        <w:right w:val="none" w:sz="0" w:space="0" w:color="auto"/>
      </w:divBdr>
    </w:div>
    <w:div w:id="554317381">
      <w:bodyDiv w:val="1"/>
      <w:marLeft w:val="0"/>
      <w:marRight w:val="0"/>
      <w:marTop w:val="0"/>
      <w:marBottom w:val="0"/>
      <w:divBdr>
        <w:top w:val="none" w:sz="0" w:space="0" w:color="auto"/>
        <w:left w:val="none" w:sz="0" w:space="0" w:color="auto"/>
        <w:bottom w:val="none" w:sz="0" w:space="0" w:color="auto"/>
        <w:right w:val="none" w:sz="0" w:space="0" w:color="auto"/>
      </w:divBdr>
    </w:div>
    <w:div w:id="728453942">
      <w:bodyDiv w:val="1"/>
      <w:marLeft w:val="0"/>
      <w:marRight w:val="0"/>
      <w:marTop w:val="0"/>
      <w:marBottom w:val="0"/>
      <w:divBdr>
        <w:top w:val="none" w:sz="0" w:space="0" w:color="auto"/>
        <w:left w:val="none" w:sz="0" w:space="0" w:color="auto"/>
        <w:bottom w:val="none" w:sz="0" w:space="0" w:color="auto"/>
        <w:right w:val="none" w:sz="0" w:space="0" w:color="auto"/>
      </w:divBdr>
    </w:div>
    <w:div w:id="766582398">
      <w:bodyDiv w:val="1"/>
      <w:marLeft w:val="0"/>
      <w:marRight w:val="0"/>
      <w:marTop w:val="0"/>
      <w:marBottom w:val="0"/>
      <w:divBdr>
        <w:top w:val="none" w:sz="0" w:space="0" w:color="auto"/>
        <w:left w:val="none" w:sz="0" w:space="0" w:color="auto"/>
        <w:bottom w:val="none" w:sz="0" w:space="0" w:color="auto"/>
        <w:right w:val="none" w:sz="0" w:space="0" w:color="auto"/>
      </w:divBdr>
    </w:div>
    <w:div w:id="811097565">
      <w:bodyDiv w:val="1"/>
      <w:marLeft w:val="0"/>
      <w:marRight w:val="0"/>
      <w:marTop w:val="0"/>
      <w:marBottom w:val="0"/>
      <w:divBdr>
        <w:top w:val="none" w:sz="0" w:space="0" w:color="auto"/>
        <w:left w:val="none" w:sz="0" w:space="0" w:color="auto"/>
        <w:bottom w:val="none" w:sz="0" w:space="0" w:color="auto"/>
        <w:right w:val="none" w:sz="0" w:space="0" w:color="auto"/>
      </w:divBdr>
    </w:div>
    <w:div w:id="831674445">
      <w:bodyDiv w:val="1"/>
      <w:marLeft w:val="0"/>
      <w:marRight w:val="0"/>
      <w:marTop w:val="0"/>
      <w:marBottom w:val="0"/>
      <w:divBdr>
        <w:top w:val="none" w:sz="0" w:space="0" w:color="auto"/>
        <w:left w:val="none" w:sz="0" w:space="0" w:color="auto"/>
        <w:bottom w:val="none" w:sz="0" w:space="0" w:color="auto"/>
        <w:right w:val="none" w:sz="0" w:space="0" w:color="auto"/>
      </w:divBdr>
    </w:div>
    <w:div w:id="855268618">
      <w:bodyDiv w:val="1"/>
      <w:marLeft w:val="0"/>
      <w:marRight w:val="0"/>
      <w:marTop w:val="0"/>
      <w:marBottom w:val="0"/>
      <w:divBdr>
        <w:top w:val="none" w:sz="0" w:space="0" w:color="auto"/>
        <w:left w:val="none" w:sz="0" w:space="0" w:color="auto"/>
        <w:bottom w:val="none" w:sz="0" w:space="0" w:color="auto"/>
        <w:right w:val="none" w:sz="0" w:space="0" w:color="auto"/>
      </w:divBdr>
    </w:div>
    <w:div w:id="859318495">
      <w:bodyDiv w:val="1"/>
      <w:marLeft w:val="0"/>
      <w:marRight w:val="0"/>
      <w:marTop w:val="0"/>
      <w:marBottom w:val="0"/>
      <w:divBdr>
        <w:top w:val="none" w:sz="0" w:space="0" w:color="auto"/>
        <w:left w:val="none" w:sz="0" w:space="0" w:color="auto"/>
        <w:bottom w:val="none" w:sz="0" w:space="0" w:color="auto"/>
        <w:right w:val="none" w:sz="0" w:space="0" w:color="auto"/>
      </w:divBdr>
    </w:div>
    <w:div w:id="1034697105">
      <w:bodyDiv w:val="1"/>
      <w:marLeft w:val="0"/>
      <w:marRight w:val="0"/>
      <w:marTop w:val="0"/>
      <w:marBottom w:val="0"/>
      <w:divBdr>
        <w:top w:val="none" w:sz="0" w:space="0" w:color="auto"/>
        <w:left w:val="none" w:sz="0" w:space="0" w:color="auto"/>
        <w:bottom w:val="none" w:sz="0" w:space="0" w:color="auto"/>
        <w:right w:val="none" w:sz="0" w:space="0" w:color="auto"/>
      </w:divBdr>
    </w:div>
    <w:div w:id="1112824302">
      <w:bodyDiv w:val="1"/>
      <w:marLeft w:val="0"/>
      <w:marRight w:val="0"/>
      <w:marTop w:val="0"/>
      <w:marBottom w:val="0"/>
      <w:divBdr>
        <w:top w:val="none" w:sz="0" w:space="0" w:color="auto"/>
        <w:left w:val="none" w:sz="0" w:space="0" w:color="auto"/>
        <w:bottom w:val="none" w:sz="0" w:space="0" w:color="auto"/>
        <w:right w:val="none" w:sz="0" w:space="0" w:color="auto"/>
      </w:divBdr>
    </w:div>
    <w:div w:id="1122500920">
      <w:bodyDiv w:val="1"/>
      <w:marLeft w:val="0"/>
      <w:marRight w:val="0"/>
      <w:marTop w:val="0"/>
      <w:marBottom w:val="0"/>
      <w:divBdr>
        <w:top w:val="none" w:sz="0" w:space="0" w:color="auto"/>
        <w:left w:val="none" w:sz="0" w:space="0" w:color="auto"/>
        <w:bottom w:val="none" w:sz="0" w:space="0" w:color="auto"/>
        <w:right w:val="none" w:sz="0" w:space="0" w:color="auto"/>
      </w:divBdr>
      <w:divsChild>
        <w:div w:id="7912871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3303364">
      <w:bodyDiv w:val="1"/>
      <w:marLeft w:val="0"/>
      <w:marRight w:val="0"/>
      <w:marTop w:val="0"/>
      <w:marBottom w:val="0"/>
      <w:divBdr>
        <w:top w:val="none" w:sz="0" w:space="0" w:color="auto"/>
        <w:left w:val="none" w:sz="0" w:space="0" w:color="auto"/>
        <w:bottom w:val="none" w:sz="0" w:space="0" w:color="auto"/>
        <w:right w:val="none" w:sz="0" w:space="0" w:color="auto"/>
      </w:divBdr>
    </w:div>
    <w:div w:id="1129007745">
      <w:bodyDiv w:val="1"/>
      <w:marLeft w:val="0"/>
      <w:marRight w:val="0"/>
      <w:marTop w:val="0"/>
      <w:marBottom w:val="0"/>
      <w:divBdr>
        <w:top w:val="none" w:sz="0" w:space="0" w:color="auto"/>
        <w:left w:val="none" w:sz="0" w:space="0" w:color="auto"/>
        <w:bottom w:val="none" w:sz="0" w:space="0" w:color="auto"/>
        <w:right w:val="none" w:sz="0" w:space="0" w:color="auto"/>
      </w:divBdr>
    </w:div>
    <w:div w:id="1197622186">
      <w:bodyDiv w:val="1"/>
      <w:marLeft w:val="0"/>
      <w:marRight w:val="0"/>
      <w:marTop w:val="0"/>
      <w:marBottom w:val="0"/>
      <w:divBdr>
        <w:top w:val="none" w:sz="0" w:space="0" w:color="auto"/>
        <w:left w:val="none" w:sz="0" w:space="0" w:color="auto"/>
        <w:bottom w:val="none" w:sz="0" w:space="0" w:color="auto"/>
        <w:right w:val="none" w:sz="0" w:space="0" w:color="auto"/>
      </w:divBdr>
    </w:div>
    <w:div w:id="1212501511">
      <w:bodyDiv w:val="1"/>
      <w:marLeft w:val="0"/>
      <w:marRight w:val="0"/>
      <w:marTop w:val="0"/>
      <w:marBottom w:val="0"/>
      <w:divBdr>
        <w:top w:val="none" w:sz="0" w:space="0" w:color="auto"/>
        <w:left w:val="none" w:sz="0" w:space="0" w:color="auto"/>
        <w:bottom w:val="none" w:sz="0" w:space="0" w:color="auto"/>
        <w:right w:val="none" w:sz="0" w:space="0" w:color="auto"/>
      </w:divBdr>
    </w:div>
    <w:div w:id="1233194900">
      <w:bodyDiv w:val="1"/>
      <w:marLeft w:val="0"/>
      <w:marRight w:val="0"/>
      <w:marTop w:val="0"/>
      <w:marBottom w:val="0"/>
      <w:divBdr>
        <w:top w:val="none" w:sz="0" w:space="0" w:color="auto"/>
        <w:left w:val="none" w:sz="0" w:space="0" w:color="auto"/>
        <w:bottom w:val="none" w:sz="0" w:space="0" w:color="auto"/>
        <w:right w:val="none" w:sz="0" w:space="0" w:color="auto"/>
      </w:divBdr>
    </w:div>
    <w:div w:id="1319723738">
      <w:bodyDiv w:val="1"/>
      <w:marLeft w:val="0"/>
      <w:marRight w:val="0"/>
      <w:marTop w:val="0"/>
      <w:marBottom w:val="0"/>
      <w:divBdr>
        <w:top w:val="none" w:sz="0" w:space="0" w:color="auto"/>
        <w:left w:val="none" w:sz="0" w:space="0" w:color="auto"/>
        <w:bottom w:val="none" w:sz="0" w:space="0" w:color="auto"/>
        <w:right w:val="none" w:sz="0" w:space="0" w:color="auto"/>
      </w:divBdr>
    </w:div>
    <w:div w:id="1424568616">
      <w:bodyDiv w:val="1"/>
      <w:marLeft w:val="0"/>
      <w:marRight w:val="0"/>
      <w:marTop w:val="0"/>
      <w:marBottom w:val="0"/>
      <w:divBdr>
        <w:top w:val="none" w:sz="0" w:space="0" w:color="auto"/>
        <w:left w:val="none" w:sz="0" w:space="0" w:color="auto"/>
        <w:bottom w:val="none" w:sz="0" w:space="0" w:color="auto"/>
        <w:right w:val="none" w:sz="0" w:space="0" w:color="auto"/>
      </w:divBdr>
    </w:div>
    <w:div w:id="1494182413">
      <w:bodyDiv w:val="1"/>
      <w:marLeft w:val="0"/>
      <w:marRight w:val="0"/>
      <w:marTop w:val="0"/>
      <w:marBottom w:val="0"/>
      <w:divBdr>
        <w:top w:val="none" w:sz="0" w:space="0" w:color="auto"/>
        <w:left w:val="none" w:sz="0" w:space="0" w:color="auto"/>
        <w:bottom w:val="none" w:sz="0" w:space="0" w:color="auto"/>
        <w:right w:val="none" w:sz="0" w:space="0" w:color="auto"/>
      </w:divBdr>
    </w:div>
    <w:div w:id="1593388924">
      <w:bodyDiv w:val="1"/>
      <w:marLeft w:val="0"/>
      <w:marRight w:val="0"/>
      <w:marTop w:val="0"/>
      <w:marBottom w:val="0"/>
      <w:divBdr>
        <w:top w:val="none" w:sz="0" w:space="0" w:color="auto"/>
        <w:left w:val="none" w:sz="0" w:space="0" w:color="auto"/>
        <w:bottom w:val="none" w:sz="0" w:space="0" w:color="auto"/>
        <w:right w:val="none" w:sz="0" w:space="0" w:color="auto"/>
      </w:divBdr>
      <w:divsChild>
        <w:div w:id="20216654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5961110">
      <w:bodyDiv w:val="1"/>
      <w:marLeft w:val="0"/>
      <w:marRight w:val="0"/>
      <w:marTop w:val="0"/>
      <w:marBottom w:val="0"/>
      <w:divBdr>
        <w:top w:val="none" w:sz="0" w:space="0" w:color="auto"/>
        <w:left w:val="none" w:sz="0" w:space="0" w:color="auto"/>
        <w:bottom w:val="none" w:sz="0" w:space="0" w:color="auto"/>
        <w:right w:val="none" w:sz="0" w:space="0" w:color="auto"/>
      </w:divBdr>
    </w:div>
    <w:div w:id="1705475275">
      <w:bodyDiv w:val="1"/>
      <w:marLeft w:val="0"/>
      <w:marRight w:val="0"/>
      <w:marTop w:val="0"/>
      <w:marBottom w:val="0"/>
      <w:divBdr>
        <w:top w:val="none" w:sz="0" w:space="0" w:color="auto"/>
        <w:left w:val="none" w:sz="0" w:space="0" w:color="auto"/>
        <w:bottom w:val="none" w:sz="0" w:space="0" w:color="auto"/>
        <w:right w:val="none" w:sz="0" w:space="0" w:color="auto"/>
      </w:divBdr>
    </w:div>
    <w:div w:id="1723602761">
      <w:bodyDiv w:val="1"/>
      <w:marLeft w:val="0"/>
      <w:marRight w:val="0"/>
      <w:marTop w:val="0"/>
      <w:marBottom w:val="0"/>
      <w:divBdr>
        <w:top w:val="none" w:sz="0" w:space="0" w:color="auto"/>
        <w:left w:val="none" w:sz="0" w:space="0" w:color="auto"/>
        <w:bottom w:val="none" w:sz="0" w:space="0" w:color="auto"/>
        <w:right w:val="none" w:sz="0" w:space="0" w:color="auto"/>
      </w:divBdr>
    </w:div>
    <w:div w:id="1727334012">
      <w:bodyDiv w:val="1"/>
      <w:marLeft w:val="0"/>
      <w:marRight w:val="0"/>
      <w:marTop w:val="0"/>
      <w:marBottom w:val="0"/>
      <w:divBdr>
        <w:top w:val="none" w:sz="0" w:space="0" w:color="auto"/>
        <w:left w:val="none" w:sz="0" w:space="0" w:color="auto"/>
        <w:bottom w:val="none" w:sz="0" w:space="0" w:color="auto"/>
        <w:right w:val="none" w:sz="0" w:space="0" w:color="auto"/>
      </w:divBdr>
      <w:divsChild>
        <w:div w:id="12798001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8645714">
      <w:bodyDiv w:val="1"/>
      <w:marLeft w:val="0"/>
      <w:marRight w:val="0"/>
      <w:marTop w:val="0"/>
      <w:marBottom w:val="0"/>
      <w:divBdr>
        <w:top w:val="none" w:sz="0" w:space="0" w:color="auto"/>
        <w:left w:val="none" w:sz="0" w:space="0" w:color="auto"/>
        <w:bottom w:val="none" w:sz="0" w:space="0" w:color="auto"/>
        <w:right w:val="none" w:sz="0" w:space="0" w:color="auto"/>
      </w:divBdr>
      <w:divsChild>
        <w:div w:id="9090730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3417914">
      <w:bodyDiv w:val="1"/>
      <w:marLeft w:val="0"/>
      <w:marRight w:val="0"/>
      <w:marTop w:val="0"/>
      <w:marBottom w:val="0"/>
      <w:divBdr>
        <w:top w:val="none" w:sz="0" w:space="0" w:color="auto"/>
        <w:left w:val="none" w:sz="0" w:space="0" w:color="auto"/>
        <w:bottom w:val="none" w:sz="0" w:space="0" w:color="auto"/>
        <w:right w:val="none" w:sz="0" w:space="0" w:color="auto"/>
      </w:divBdr>
    </w:div>
    <w:div w:id="1873495060">
      <w:bodyDiv w:val="1"/>
      <w:marLeft w:val="0"/>
      <w:marRight w:val="0"/>
      <w:marTop w:val="0"/>
      <w:marBottom w:val="0"/>
      <w:divBdr>
        <w:top w:val="none" w:sz="0" w:space="0" w:color="auto"/>
        <w:left w:val="none" w:sz="0" w:space="0" w:color="auto"/>
        <w:bottom w:val="none" w:sz="0" w:space="0" w:color="auto"/>
        <w:right w:val="none" w:sz="0" w:space="0" w:color="auto"/>
      </w:divBdr>
    </w:div>
    <w:div w:id="1888762066">
      <w:bodyDiv w:val="1"/>
      <w:marLeft w:val="0"/>
      <w:marRight w:val="0"/>
      <w:marTop w:val="0"/>
      <w:marBottom w:val="0"/>
      <w:divBdr>
        <w:top w:val="none" w:sz="0" w:space="0" w:color="auto"/>
        <w:left w:val="none" w:sz="0" w:space="0" w:color="auto"/>
        <w:bottom w:val="none" w:sz="0" w:space="0" w:color="auto"/>
        <w:right w:val="none" w:sz="0" w:space="0" w:color="auto"/>
      </w:divBdr>
    </w:div>
    <w:div w:id="1907104704">
      <w:bodyDiv w:val="1"/>
      <w:marLeft w:val="0"/>
      <w:marRight w:val="0"/>
      <w:marTop w:val="0"/>
      <w:marBottom w:val="0"/>
      <w:divBdr>
        <w:top w:val="none" w:sz="0" w:space="0" w:color="auto"/>
        <w:left w:val="none" w:sz="0" w:space="0" w:color="auto"/>
        <w:bottom w:val="none" w:sz="0" w:space="0" w:color="auto"/>
        <w:right w:val="none" w:sz="0" w:space="0" w:color="auto"/>
      </w:divBdr>
      <w:divsChild>
        <w:div w:id="19295400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1713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Yaelf/Downloads/fimmu-14-1161148.pdf" TargetMode="External"/><Relationship Id="rId13" Type="http://schemas.openxmlformats.org/officeDocument/2006/relationships/image" Target="media/image3.png"/><Relationship Id="rId18" Type="http://schemas.openxmlformats.org/officeDocument/2006/relationships/hyperlink" Target="https://www.ncbi.nlm.nih.gov/gtr/genes/4541/"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pmc.ncbi.nlm.nih.gov/articles/PMC11466505/" TargetMode="External"/><Relationship Id="rId7" Type="http://schemas.openxmlformats.org/officeDocument/2006/relationships/hyperlink" Target="https://www.cell.com/immunity/pdf/S1074-7613(22)00599-4.pdf" TargetMode="External"/><Relationship Id="rId12" Type="http://schemas.openxmlformats.org/officeDocument/2006/relationships/image" Target="media/image2.png"/><Relationship Id="rId17" Type="http://schemas.openxmlformats.org/officeDocument/2006/relationships/hyperlink" Target="file:///C:/Users/Yaelf/Downloads/12679-Article%20Text-14103-2-10-20230522.pdf"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file:///C:/Users/Yaelf/Downloads/fmed-08-598076.pdf" TargetMode="External"/><Relationship Id="rId20" Type="http://schemas.openxmlformats.org/officeDocument/2006/relationships/hyperlink" Target="https://pmc.ncbi.nlm.nih.gov/articles/PMC11466505/" TargetMode="External"/><Relationship Id="rId1" Type="http://schemas.openxmlformats.org/officeDocument/2006/relationships/numbering" Target="numbering.xml"/><Relationship Id="rId6" Type="http://schemas.openxmlformats.org/officeDocument/2006/relationships/hyperlink" Target="file:///C:/Users/Yaelf/Downloads/cells-10-02857-v2.pdf" TargetMode="External"/><Relationship Id="rId11" Type="http://schemas.openxmlformats.org/officeDocument/2006/relationships/hyperlink" Target="https://www.ncbi.nlm.nih.gov/gtr/genes/4541/" TargetMode="External"/><Relationship Id="rId24" Type="http://schemas.openxmlformats.org/officeDocument/2006/relationships/hyperlink" Target="https://pmc.ncbi.nlm.nih.gov/articles/PMC10637801/pdf/aging-15-205149.pdf" TargetMode="External"/><Relationship Id="rId5" Type="http://schemas.openxmlformats.org/officeDocument/2006/relationships/hyperlink" Target="https://magistralbr.caldic.com/storage/product-files/762860314.pdf" TargetMode="External"/><Relationship Id="rId15" Type="http://schemas.openxmlformats.org/officeDocument/2006/relationships/hyperlink" Target="file:///C:/Users/Yaelf/Downloads/fimmu-11-572858.pdf" TargetMode="External"/><Relationship Id="rId23" Type="http://schemas.openxmlformats.org/officeDocument/2006/relationships/hyperlink" Target="file:///C:/Users/Yaelf/Downloads/fgene-11-572194%20(1).pdf" TargetMode="External"/><Relationship Id="rId10" Type="http://schemas.openxmlformats.org/officeDocument/2006/relationships/hyperlink" Target="https://www.nature.com/articles/s42003-022-03050-3.pdf" TargetMode="External"/><Relationship Id="rId19" Type="http://schemas.openxmlformats.org/officeDocument/2006/relationships/hyperlink" Target="file:///C:/Users/Yaelf/Downloads/fmed-10-1247778.pdf"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file:///C:/Users/Yaelf/Downloads/fimmu-13-892970.pdf" TargetMode="External"/><Relationship Id="rId22" Type="http://schemas.openxmlformats.org/officeDocument/2006/relationships/hyperlink" Target="https://pmc.ncbi.nlm.nih.gov/articles/PMC11466505/"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9528</TotalTime>
  <Pages>12</Pages>
  <Words>8322</Words>
  <Characters>45773</Characters>
  <Application>Microsoft Office Word</Application>
  <DocSecurity>0</DocSecurity>
  <Lines>381</Lines>
  <Paragraphs>107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Yaël Feenstra</dc:creator>
  <cp:keywords/>
  <dc:description/>
  <cp:lastModifiedBy>Yael Feenstra</cp:lastModifiedBy>
  <cp:revision>49</cp:revision>
  <dcterms:created xsi:type="dcterms:W3CDTF">2025-06-03T15:04:00Z</dcterms:created>
  <dcterms:modified xsi:type="dcterms:W3CDTF">2025-06-10T08:08:00Z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id="EhdZ0zth"/&gt;&lt;style id="http://www.zotero.org/styles/apa" locale="nl-NL"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