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DF59" w14:textId="77777777" w:rsidR="00452314" w:rsidRDefault="00452314" w:rsidP="00452314">
      <w:pPr>
        <w:pStyle w:val="Kop1"/>
      </w:pPr>
      <w:r>
        <w:t>1. Inleiding</w:t>
      </w:r>
    </w:p>
    <w:p w14:paraId="39EE2954" w14:textId="618FB9FC" w:rsidR="00007181" w:rsidRDefault="005C20DF">
      <w:r w:rsidRPr="005C20DF">
        <w:t>- Inleiding: +- 200 woorden met aanleiding, achtergrondinformatie en doelstel-</w:t>
      </w:r>
      <w:r w:rsidRPr="005C20DF">
        <w:br/>
      </w:r>
      <w:proofErr w:type="spellStart"/>
      <w:r w:rsidRPr="005C20DF">
        <w:t>ling</w:t>
      </w:r>
      <w:proofErr w:type="spellEnd"/>
      <w:r w:rsidRPr="005C20DF">
        <w:t>. Bronnen (PDF) kunnen in een aparte folder met verwijzing</w:t>
      </w:r>
    </w:p>
    <w:p w14:paraId="19A03A68" w14:textId="1303B253" w:rsidR="008B0A28" w:rsidRDefault="008B0A28"/>
    <w:p w14:paraId="102E7F8F" w14:textId="380FDC13" w:rsidR="00B031F8" w:rsidRDefault="00B031F8" w:rsidP="00B031F8">
      <w:proofErr w:type="spellStart"/>
      <w:r>
        <w:t>Transcriptomics</w:t>
      </w:r>
      <w:proofErr w:type="spellEnd"/>
      <w:r>
        <w:t xml:space="preserve"> is de studie van het </w:t>
      </w:r>
      <w:proofErr w:type="spellStart"/>
      <w:r>
        <w:t>transcriptoom</w:t>
      </w:r>
      <w:proofErr w:type="spellEnd"/>
      <w:r w:rsidR="009D63B8">
        <w:t xml:space="preserve"> wat iets over de</w:t>
      </w:r>
      <w:r>
        <w:t xml:space="preserve"> genexpressie </w:t>
      </w:r>
      <w:r w:rsidR="002011F9">
        <w:t>zegt</w:t>
      </w:r>
      <w:r>
        <w:t xml:space="preserve">. Hiermee kunnen effecten en oorzaken van ziektebeelden worden onderzocht. </w:t>
      </w:r>
      <w:r>
        <w:fldChar w:fldCharType="begin"/>
      </w:r>
      <w:r>
        <w:instrText xml:space="preserve"> ADDIN ZOTERO_ITEM CSL_CITATION {"citationID":"30twSdQi","properties":{"formattedCitation":"(Khodadadian et al., 2020)","plainCitation":"(Khodadadian et al., 2020)","noteIndex":0},"citationItems":[{"id":555,"uris":["http://zotero.org/users/local/beyTtIxb/items/J24UU547"],"itemData":{"id":555,"type":"article-journal","abstract":"In a clinical trial, people with the same disease can show different responses after treatment with the same drug and exactly under the same conditions. Some of them may improve, some may not show any response, and occasionally side effects may be observed. In other words, people with the same disease process under the same therapeutic conditions may have different responses. Today, some diseases are resistant to conventional (standard) treatment procedures. Why do people with the same disease show different responses to the treatment with the same drug? This is primarily due to differences in molecular pathways (especially genetic variations) associated with the disease. On the other hand, designing and delivery of a new drug is a time-consuming and costly process, so any mistake in any stage of this process can have irreparable consequences for pharmaceutical companies and con­ sumer patients. Therefore, we can achieve more accurate and reliable treatments by acquiring precise insight into different aspects of precision medicine including genomics and tran­ scriptomics. The aim of this paper is to address the role of genomics and transcriptomics in precision medicine.","container-title":"International Journal of General Medicine","DOI":"10.2147/IJGM.S249970","ISSN":"1178-7074","journalAbbreviation":"IJGM","language":"en","license":"http://creativecommons.org/licenses/by-nc/3.0/","page":"627-640","source":"DOI.org (Crossref)","title":"Genomics and Transcriptomics: The Powerful Technologies in Precision Medicine","title-short":"Genomics and Transcriptomics","volume":"Volume 13","author":[{"family":"Khodadadian","given":"Ali"},{"family":"Darzi","given":"Somaye"},{"family":"Haghi-Daredeh","given":"Saeed"},{"family":"Sadat Eshaghi","given":"Farzaneh"},{"family":"Babakhanzadeh","given":"Emad"},{"family":"Mirabutalebi","given":"Seyed Hamidreza"},{"family":"Nazari","given":"Majid"}],"issued":{"date-parts":[["2020",9]]}}}],"schema":"https://github.com/citation-style-language/schema/raw/master/csl-citation.json"} </w:instrText>
      </w:r>
      <w:r>
        <w:fldChar w:fldCharType="separate"/>
      </w:r>
      <w:r w:rsidRPr="00B031F8">
        <w:rPr>
          <w:rFonts w:ascii="Aptos" w:hAnsi="Aptos"/>
        </w:rPr>
        <w:t>(Khodadadian et al., 2020)</w:t>
      </w:r>
      <w:r>
        <w:fldChar w:fldCharType="end"/>
      </w:r>
      <w:r w:rsidR="009D63B8">
        <w:t>.</w:t>
      </w:r>
    </w:p>
    <w:p w14:paraId="503D8C14" w14:textId="2F4A2B1B" w:rsidR="003A6944" w:rsidRPr="00510251" w:rsidRDefault="009D63B8" w:rsidP="00BB49CD">
      <w:r w:rsidRPr="00E36740">
        <w:t>R</w:t>
      </w:r>
      <w:r>
        <w:t>eumatoïde artritis (R</w:t>
      </w:r>
      <w:r w:rsidR="00E36740" w:rsidRPr="00E36740">
        <w:t>A</w:t>
      </w:r>
      <w:r>
        <w:t>)</w:t>
      </w:r>
      <w:r w:rsidR="00E36740" w:rsidRPr="00E36740">
        <w:t xml:space="preserve"> is een chronische </w:t>
      </w:r>
      <w:r w:rsidRPr="00E36740">
        <w:t>a</w:t>
      </w:r>
      <w:r>
        <w:t>uto-immuunziekte</w:t>
      </w:r>
      <w:r w:rsidR="00E36740">
        <w:t xml:space="preserve"> waarbij systematische synovitis</w:t>
      </w:r>
      <w:r w:rsidR="002625C7">
        <w:t xml:space="preserve"> </w:t>
      </w:r>
      <w:r w:rsidR="00E36740">
        <w:t>en bot</w:t>
      </w:r>
      <w:r>
        <w:t>- en gewrichts</w:t>
      </w:r>
      <w:r w:rsidR="00E36740">
        <w:t>afbraak optreedt</w:t>
      </w:r>
      <w:r w:rsidR="002625C7">
        <w:t xml:space="preserve">. </w:t>
      </w:r>
      <w:r w:rsidR="00E36740">
        <w:rPr>
          <w:rFonts w:ascii="Aptos" w:hAnsi="Aptos"/>
        </w:rPr>
        <w:t>5 op de 1000 volwassenen heeft RA</w:t>
      </w:r>
      <w:r w:rsidR="002625C7">
        <w:rPr>
          <w:rFonts w:ascii="Aptos" w:hAnsi="Aptos"/>
        </w:rPr>
        <w:t xml:space="preserve"> waarvan </w:t>
      </w:r>
      <w:r w:rsidR="006D5A3B" w:rsidRPr="006D5A3B">
        <w:t xml:space="preserve">5-20% van </w:t>
      </w:r>
      <w:r w:rsidR="002625C7">
        <w:t xml:space="preserve">de </w:t>
      </w:r>
      <w:r w:rsidR="006D5A3B" w:rsidRPr="006D5A3B">
        <w:t>patiënten s</w:t>
      </w:r>
      <w:r w:rsidR="006D5A3B">
        <w:t>lecht op anti-</w:t>
      </w:r>
      <w:r w:rsidR="002625C7">
        <w:t>reumatische medicatie reageert</w:t>
      </w:r>
      <w:r w:rsidR="006D5A3B">
        <w:t xml:space="preserve">. </w:t>
      </w:r>
      <w:r w:rsidR="00510251" w:rsidRPr="00510251">
        <w:t>RA ontstaat onder anderen door genetische fac</w:t>
      </w:r>
      <w:r w:rsidR="00510251">
        <w:t xml:space="preserve">toren. </w:t>
      </w:r>
      <w:r w:rsidR="002625C7">
        <w:t>D</w:t>
      </w:r>
      <w:r w:rsidR="00510251">
        <w:t xml:space="preserve">e complexiteit </w:t>
      </w:r>
      <w:r w:rsidR="002625C7">
        <w:t xml:space="preserve">van het ziekteverloop </w:t>
      </w:r>
      <w:r w:rsidR="00510251">
        <w:t xml:space="preserve">en de onbekende oorzaak </w:t>
      </w:r>
      <w:r w:rsidR="002625C7">
        <w:t xml:space="preserve">van RA </w:t>
      </w:r>
      <w:r w:rsidR="00510251">
        <w:t xml:space="preserve">zorgen ervoor dat het moeilijk behandelbaar is. </w:t>
      </w:r>
      <w:r w:rsidR="00510251">
        <w:fldChar w:fldCharType="begin"/>
      </w:r>
      <w:r w:rsidR="00510251">
        <w:instrText xml:space="preserve"> ADDIN ZOTERO_ITEM CSL_CITATION {"citationID":"0W3bQX3F","properties":{"formattedCitation":"(Suwa et al., 2023)","plainCitation":"(Suwa et al., 2023)","noteIndex":0},"citationItems":[{"id":551,"uris":["http://zotero.org/users/local/beyTtIxb/items/2GGHUI7Y"],"itemData":{"id":551,"type":"article-journal","abstract":"Dendritic cells (DCs) play crucial roles in the pathogenesis of rheumatoid arthritis (RA), a prototypic autoimmune disease characterized by chronic synovitis and joint destruction. Conventional dendritic cells (cDCs) with professional antigen-presenting functions are enriched in the RA synovium. In the synovium, the cDCs are activated and show both enhanced migratory capacities and T cell activation in comparison with peripheral blood cDCs. Plasmacytoid dendritic cells, another subtype of DCs capable of type I interferon production, are likely to be tolerogenic in RA. Monocyte-derived dendritic cells (moDCs), once called “inflammatory DCs”, are localized in the RA synovium, and they induce T-helper 17 cell expansion and enhanced proinflammatory cytokine production. Recent studies revealed that synovial proinflammatory hypoxic environments are linked to metabolic reprogramming. Activation of cDCs in the RA synovium is accompanied by enhanced glycolysis and anabolism. In sharp contrast, promoting catabolism can induce tolerogenic DCs from monocytes. Herein, we review recent studies that address the roles of DCs and their immunometabolic features in RA. Immunometabolism of DCs could be a potential therapeutic target in RA.","container-title":"Frontiers in Immunology","DOI":"10.3389/fimmu.2023.1161148","ISSN":"1664-3224","journalAbbreviation":"Front. Immunol.","language":"en","page":"1161148","source":"DOI.org (Crossref)","title":"The role of dendritic cells and their immunometabolism in rheumatoid arthritis","volume":"14","author":[{"family":"Suwa","given":"Yuichi"},{"family":"Nagafuchi","given":"Yasuo"},{"family":"Yamada","given":"Saeko"},{"family":"Fujio","given":"Keishi"}],"issued":{"date-parts":[["2023",5,12]]}}}],"schema":"https://github.com/citation-style-language/schema/raw/master/csl-citation.json"} </w:instrText>
      </w:r>
      <w:r w:rsidR="00510251">
        <w:fldChar w:fldCharType="separate"/>
      </w:r>
      <w:r w:rsidR="00510251" w:rsidRPr="00510251">
        <w:rPr>
          <w:rFonts w:ascii="Aptos" w:hAnsi="Aptos"/>
        </w:rPr>
        <w:t>(Suwa et al., 2023)</w:t>
      </w:r>
      <w:r w:rsidR="00510251">
        <w:fldChar w:fldCharType="end"/>
      </w:r>
    </w:p>
    <w:p w14:paraId="432D5A6B" w14:textId="1EF76F96" w:rsidR="00924E7B" w:rsidRDefault="00B6561C" w:rsidP="009D63B8">
      <w:r w:rsidRPr="00B6561C">
        <w:t xml:space="preserve">De </w:t>
      </w:r>
      <w:r>
        <w:t xml:space="preserve">precieze </w:t>
      </w:r>
      <w:r w:rsidRPr="00B6561C">
        <w:t>oorzaak van RA is onbekend, maar genetische factoren spelen een rol.</w:t>
      </w:r>
      <w:r w:rsidR="009D63B8" w:rsidRPr="00B6561C">
        <w:t xml:space="preserve"> </w:t>
      </w:r>
      <w:r w:rsidR="009D63B8">
        <w:t xml:space="preserve">Door de oorzaak van RA </w:t>
      </w:r>
      <w:r>
        <w:t xml:space="preserve">te onderzoeken </w:t>
      </w:r>
      <w:r w:rsidR="009D63B8">
        <w:t xml:space="preserve">kunnen gerichtere therapieën en preventie worden ontwikkeld. </w:t>
      </w:r>
      <w:r>
        <w:t xml:space="preserve">Dit onderzoek vergelijkt </w:t>
      </w:r>
      <w:proofErr w:type="spellStart"/>
      <w:r w:rsidR="009D63B8">
        <w:t>m.b.v</w:t>
      </w:r>
      <w:proofErr w:type="spellEnd"/>
      <w:r w:rsidR="009D63B8">
        <w:t xml:space="preserve"> </w:t>
      </w:r>
      <w:proofErr w:type="spellStart"/>
      <w:r w:rsidR="009D63B8">
        <w:t>transcriptomics</w:t>
      </w:r>
      <w:proofErr w:type="spellEnd"/>
      <w:r w:rsidR="009D63B8">
        <w:t xml:space="preserve"> </w:t>
      </w:r>
      <w:r w:rsidR="006221FE">
        <w:t>verschillen in</w:t>
      </w:r>
      <w:r w:rsidR="009D63B8">
        <w:t xml:space="preserve"> </w:t>
      </w:r>
      <w:r w:rsidR="006221FE">
        <w:t>genexpressie tussen</w:t>
      </w:r>
      <w:r w:rsidR="009D63B8">
        <w:t xml:space="preserve"> RA en normale personen </w:t>
      </w:r>
      <w:r>
        <w:t>om</w:t>
      </w:r>
      <w:r w:rsidR="009D63B8">
        <w:t xml:space="preserve"> de pathogenese </w:t>
      </w:r>
      <w:r>
        <w:t>beter te begrijpen</w:t>
      </w:r>
      <w:r w:rsidR="009D63B8">
        <w:t>.</w:t>
      </w:r>
    </w:p>
    <w:p w14:paraId="60A1E913" w14:textId="77777777" w:rsidR="009D63B8" w:rsidRDefault="009D63B8"/>
    <w:p w14:paraId="08224F83" w14:textId="17664F02" w:rsidR="009D63B8" w:rsidRDefault="006221FE">
      <w:r>
        <w:t>1</w:t>
      </w:r>
      <w:r w:rsidR="003A6CD4">
        <w:t>33</w:t>
      </w:r>
    </w:p>
    <w:p w14:paraId="3194B3EC" w14:textId="494F2DCC" w:rsidR="006221FE" w:rsidRDefault="006221FE">
      <w:r>
        <w:t>1</w:t>
      </w:r>
      <w:r w:rsidR="00D345E4">
        <w:t>88</w:t>
      </w:r>
    </w:p>
    <w:p w14:paraId="1DCFAC00" w14:textId="52D032FA" w:rsidR="00D345E4" w:rsidRDefault="006221FE">
      <w:r>
        <w:t>1</w:t>
      </w:r>
      <w:r w:rsidR="00940D99">
        <w:t>76</w:t>
      </w:r>
    </w:p>
    <w:p w14:paraId="44109E7C" w14:textId="42D18A14" w:rsidR="006221FE" w:rsidRDefault="006221FE">
      <w:r>
        <w:t>2</w:t>
      </w:r>
      <w:r w:rsidR="00F1100E">
        <w:t>17</w:t>
      </w:r>
      <w:r w:rsidR="00D345E4">
        <w:t xml:space="preserve"> - 189</w:t>
      </w:r>
    </w:p>
    <w:p w14:paraId="7F771661" w14:textId="77777777" w:rsidR="00076574" w:rsidRDefault="00076574"/>
    <w:p w14:paraId="2278E289" w14:textId="77777777" w:rsidR="002625C7" w:rsidRDefault="002625C7"/>
    <w:p w14:paraId="53719AC3" w14:textId="77777777" w:rsidR="002625C7" w:rsidRDefault="002625C7"/>
    <w:p w14:paraId="04ED6B9F" w14:textId="77777777" w:rsidR="002625C7" w:rsidRDefault="002625C7"/>
    <w:p w14:paraId="610BE9F7" w14:textId="77777777" w:rsidR="002625C7" w:rsidRDefault="002625C7"/>
    <w:p w14:paraId="6906485E" w14:textId="77777777" w:rsidR="009D63B8" w:rsidRDefault="009D63B8"/>
    <w:p w14:paraId="7CF82BFB" w14:textId="77777777" w:rsidR="00076574" w:rsidRDefault="00076574"/>
    <w:p w14:paraId="4EB804E5" w14:textId="77777777" w:rsidR="004C0FEB" w:rsidRDefault="004C0FEB"/>
    <w:p w14:paraId="249C7E11" w14:textId="77777777" w:rsidR="004C0FEB" w:rsidRDefault="004C0FEB"/>
    <w:p w14:paraId="7FD727D7" w14:textId="77777777" w:rsidR="004C0FEB" w:rsidRDefault="004C0FEB"/>
    <w:p w14:paraId="0282F462" w14:textId="77777777" w:rsidR="004C0FEB" w:rsidRDefault="004C0FEB"/>
    <w:p w14:paraId="36DB6541" w14:textId="77777777" w:rsidR="004C0FEB" w:rsidRDefault="004C0FEB"/>
    <w:p w14:paraId="2FADC88F" w14:textId="77777777" w:rsidR="004C0FEB" w:rsidRDefault="004C0FEB"/>
    <w:p w14:paraId="708DE221" w14:textId="4C5EAE78" w:rsidR="00182E49" w:rsidRDefault="00007181" w:rsidP="00657883">
      <w:pPr>
        <w:rPr>
          <w:rStyle w:val="Kop1Char"/>
        </w:rPr>
      </w:pPr>
      <w:r w:rsidRPr="00007181">
        <w:rPr>
          <w:rStyle w:val="Kop1Char"/>
        </w:rPr>
        <w:lastRenderedPageBreak/>
        <w:t>2. Methode</w:t>
      </w:r>
    </w:p>
    <w:p w14:paraId="1B6FBCE5" w14:textId="77777777" w:rsidR="009D63B8" w:rsidRDefault="009D63B8" w:rsidP="009D63B8">
      <w:r w:rsidRPr="005C20DF">
        <w:t>- Methode: +- 200 woorden met methode, flowschema. Zie leerdoelen voor mi-</w:t>
      </w:r>
      <w:r w:rsidRPr="005C20DF">
        <w:br/>
      </w:r>
      <w:proofErr w:type="spellStart"/>
      <w:r w:rsidRPr="005C20DF">
        <w:t>nimale</w:t>
      </w:r>
      <w:proofErr w:type="spellEnd"/>
      <w:r w:rsidRPr="005C20DF">
        <w:t xml:space="preserve"> inhoud. Scripts, data etc. kunnen in een aparte folder met verwijzing</w:t>
      </w:r>
    </w:p>
    <w:p w14:paraId="484F0B42" w14:textId="77777777" w:rsidR="009D63B8" w:rsidRDefault="009D63B8" w:rsidP="00657883"/>
    <w:p w14:paraId="2C1D7792" w14:textId="58D4FB42" w:rsidR="00C8534A" w:rsidRDefault="004C0FEB" w:rsidP="000443A9">
      <w:r>
        <w:rPr>
          <w:noProof/>
        </w:rPr>
        <w:t xml:space="preserve">Er werden </w:t>
      </w:r>
      <w:r w:rsidR="00697E63">
        <w:t>4 samples van personen zonder RA (ACPA negatief) en 4 samples van RA</w:t>
      </w:r>
      <w:r w:rsidR="00D345E4">
        <w:t>-patiënten</w:t>
      </w:r>
      <w:r w:rsidR="00697E63">
        <w:t xml:space="preserve"> (</w:t>
      </w:r>
      <w:r w:rsidR="00697E63" w:rsidRPr="00697E63">
        <w:t>diagnose van &gt;12 maanden</w:t>
      </w:r>
      <w:r w:rsidR="00697E63">
        <w:t xml:space="preserve">, ACPA positief) verkregen uit een </w:t>
      </w:r>
      <w:proofErr w:type="spellStart"/>
      <w:r w:rsidR="00697E63">
        <w:t>synoviumbiopt</w:t>
      </w:r>
      <w:proofErr w:type="spellEnd"/>
      <w:r w:rsidR="00697E63">
        <w:t xml:space="preserve">. Informatie over personen is te vinden in </w:t>
      </w:r>
      <w:r w:rsidR="00697E63" w:rsidRPr="00657883">
        <w:rPr>
          <w:highlight w:val="yellow"/>
        </w:rPr>
        <w:t>tabel…. In</w:t>
      </w:r>
      <w:r w:rsidR="00697E63">
        <w:t xml:space="preserve">…. </w:t>
      </w:r>
      <w:proofErr w:type="spellStart"/>
      <w:r w:rsidR="00277778">
        <w:t>Sequencing</w:t>
      </w:r>
      <w:proofErr w:type="spellEnd"/>
      <w:r w:rsidR="00277778">
        <w:t xml:space="preserve"> werd uitgevoerd</w:t>
      </w:r>
      <w:r>
        <w:t xml:space="preserve"> waarna</w:t>
      </w:r>
      <w:r w:rsidR="00697E63" w:rsidRPr="00697E63">
        <w:t xml:space="preserve"> </w:t>
      </w:r>
      <w:proofErr w:type="spellStart"/>
      <w:r w:rsidR="00697E63" w:rsidRPr="00697E63">
        <w:t>transcriptomics</w:t>
      </w:r>
      <w:proofErr w:type="spellEnd"/>
      <w:r w:rsidR="00697E63" w:rsidRPr="00697E63">
        <w:t xml:space="preserve"> analyse werd u</w:t>
      </w:r>
      <w:r w:rsidR="00697E63">
        <w:t xml:space="preserve">itgevoerd in R. </w:t>
      </w:r>
      <w:r w:rsidR="00697E63" w:rsidRPr="00697E63">
        <w:t>Het referentiegenoom werd</w:t>
      </w:r>
      <w:r w:rsidR="002354F7">
        <w:t xml:space="preserve"> </w:t>
      </w:r>
      <w:r w:rsidR="00697E63" w:rsidRPr="00697E63">
        <w:t>geïndexeerd m</w:t>
      </w:r>
      <w:r w:rsidR="00697E63">
        <w:t xml:space="preserve">et behulp van het menselijke referentiegenoom uit het </w:t>
      </w:r>
      <w:r w:rsidR="00FF533F">
        <w:t>NCBI-file</w:t>
      </w:r>
      <w:r w:rsidR="00697E63">
        <w:t xml:space="preserve">: </w:t>
      </w:r>
      <w:r w:rsidR="00697E63" w:rsidRPr="00697E63">
        <w:t>GCF_000001405.40_GRCh38.p14_genomic.fna</w:t>
      </w:r>
      <w:r>
        <w:t>, en de</w:t>
      </w:r>
      <w:r w:rsidR="00697E63">
        <w:t xml:space="preserve"> packages </w:t>
      </w:r>
      <w:proofErr w:type="spellStart"/>
      <w:r w:rsidR="00697E63" w:rsidRPr="00697E63">
        <w:t>BiocManager</w:t>
      </w:r>
      <w:proofErr w:type="spellEnd"/>
      <w:r w:rsidR="00697E63">
        <w:t xml:space="preserve"> (</w:t>
      </w:r>
      <w:r w:rsidR="00365D32" w:rsidRPr="00365D32">
        <w:t xml:space="preserve">Morgan &amp; </w:t>
      </w:r>
      <w:proofErr w:type="spellStart"/>
      <w:r w:rsidR="00365D32" w:rsidRPr="00365D32">
        <w:t>Ramos</w:t>
      </w:r>
      <w:proofErr w:type="spellEnd"/>
      <w:r w:rsidR="00365D32" w:rsidRPr="00365D32">
        <w:t>, 2024,</w:t>
      </w:r>
      <w:r w:rsidR="00365D32" w:rsidRPr="00657883">
        <w:rPr>
          <w:i/>
          <w:iCs/>
        </w:rPr>
        <w:t xml:space="preserve"> </w:t>
      </w:r>
      <w:r w:rsidR="00697E63">
        <w:t>v</w:t>
      </w:r>
      <w:r w:rsidR="00697E63" w:rsidRPr="00697E63">
        <w:t>1.30.25</w:t>
      </w:r>
      <w:r w:rsidR="00697E63">
        <w:t xml:space="preserve">) en </w:t>
      </w:r>
      <w:proofErr w:type="spellStart"/>
      <w:r w:rsidR="00697E63" w:rsidRPr="00365D32">
        <w:t>Rsubread</w:t>
      </w:r>
      <w:proofErr w:type="spellEnd"/>
      <w:r w:rsidR="002354F7" w:rsidRPr="00365D32">
        <w:t xml:space="preserve"> (</w:t>
      </w:r>
      <w:proofErr w:type="spellStart"/>
      <w:r w:rsidR="00365D32" w:rsidRPr="00365D32">
        <w:t>Shi</w:t>
      </w:r>
      <w:proofErr w:type="spellEnd"/>
      <w:r w:rsidR="00365D32" w:rsidRPr="00365D32">
        <w:t xml:space="preserve">, </w:t>
      </w:r>
      <w:proofErr w:type="spellStart"/>
      <w:r w:rsidR="00365D32" w:rsidRPr="00365D32">
        <w:t>Liao</w:t>
      </w:r>
      <w:proofErr w:type="spellEnd"/>
      <w:r w:rsidR="00365D32" w:rsidRPr="00365D32">
        <w:t xml:space="preserve">, &amp; </w:t>
      </w:r>
      <w:proofErr w:type="spellStart"/>
      <w:r w:rsidR="00365D32" w:rsidRPr="00365D32">
        <w:t>Smyth</w:t>
      </w:r>
      <w:proofErr w:type="spellEnd"/>
      <w:r w:rsidR="00365D32" w:rsidRPr="00365D32">
        <w:t>, 2024,</w:t>
      </w:r>
      <w:r w:rsidR="00365D32" w:rsidRPr="00657883">
        <w:rPr>
          <w:i/>
          <w:iCs/>
        </w:rPr>
        <w:t xml:space="preserve"> </w:t>
      </w:r>
      <w:r w:rsidR="002354F7">
        <w:t>v</w:t>
      </w:r>
      <w:r w:rsidR="002354F7" w:rsidRPr="002354F7">
        <w:t>2.20.0</w:t>
      </w:r>
      <w:r w:rsidR="002354F7">
        <w:t>)</w:t>
      </w:r>
      <w:r w:rsidR="00697E63">
        <w:t>.</w:t>
      </w:r>
      <w:r w:rsidR="002354F7">
        <w:t xml:space="preserve"> </w:t>
      </w:r>
      <w:r>
        <w:t>M</w:t>
      </w:r>
      <w:r w:rsidR="002354F7">
        <w:t xml:space="preserve">onsters </w:t>
      </w:r>
      <w:r>
        <w:t xml:space="preserve">werden </w:t>
      </w:r>
      <w:proofErr w:type="spellStart"/>
      <w:r w:rsidR="002354F7">
        <w:t>gemapt</w:t>
      </w:r>
      <w:proofErr w:type="spellEnd"/>
      <w:r w:rsidR="002354F7">
        <w:t xml:space="preserve"> tegen het geïndexeerde referentiegenoom waaruit BAM-files </w:t>
      </w:r>
      <w:r>
        <w:t>ontstonden</w:t>
      </w:r>
      <w:r w:rsidR="002354F7">
        <w:t>.</w:t>
      </w:r>
      <w:r>
        <w:t xml:space="preserve"> </w:t>
      </w:r>
      <w:r w:rsidR="002354F7">
        <w:t xml:space="preserve">BAM-files werden gesorteerd en geïndexeerd </w:t>
      </w:r>
      <w:proofErr w:type="spellStart"/>
      <w:r>
        <w:t>m.b.v</w:t>
      </w:r>
      <w:proofErr w:type="spellEnd"/>
      <w:r w:rsidR="002354F7">
        <w:t xml:space="preserve"> </w:t>
      </w:r>
      <w:proofErr w:type="spellStart"/>
      <w:r w:rsidR="002354F7" w:rsidRPr="00DE16F5">
        <w:t>Rsamtools</w:t>
      </w:r>
      <w:proofErr w:type="spellEnd"/>
      <w:r w:rsidR="002354F7">
        <w:t xml:space="preserve"> </w:t>
      </w:r>
      <w:r w:rsidR="00365D32" w:rsidRPr="00365D32">
        <w:t>(Morgan et al., 2024,</w:t>
      </w:r>
      <w:r w:rsidR="00365D32" w:rsidRPr="00657883">
        <w:rPr>
          <w:i/>
          <w:iCs/>
        </w:rPr>
        <w:t xml:space="preserve"> </w:t>
      </w:r>
      <w:r w:rsidR="002354F7">
        <w:t>v</w:t>
      </w:r>
      <w:r w:rsidR="002354F7" w:rsidRPr="002354F7">
        <w:t>2.22.0</w:t>
      </w:r>
      <w:r w:rsidR="002354F7">
        <w:t xml:space="preserve">). </w:t>
      </w:r>
      <w:proofErr w:type="spellStart"/>
      <w:r w:rsidR="002354F7" w:rsidRPr="005A7C04">
        <w:t>M.b.v</w:t>
      </w:r>
      <w:proofErr w:type="spellEnd"/>
      <w:r w:rsidR="002354F7" w:rsidRPr="005A7C04">
        <w:t xml:space="preserve"> </w:t>
      </w:r>
      <w:proofErr w:type="spellStart"/>
      <w:r w:rsidR="002354F7" w:rsidRPr="005A7C04">
        <w:t>readr</w:t>
      </w:r>
      <w:proofErr w:type="spellEnd"/>
      <w:r w:rsidR="002354F7" w:rsidRPr="005A7C04">
        <w:t xml:space="preserve"> </w:t>
      </w:r>
      <w:r w:rsidR="005A7C04" w:rsidRPr="005A7C04">
        <w:t>(</w:t>
      </w:r>
      <w:proofErr w:type="spellStart"/>
      <w:r w:rsidR="005A7C04" w:rsidRPr="005A7C04">
        <w:t>Wickham</w:t>
      </w:r>
      <w:proofErr w:type="spellEnd"/>
      <w:r w:rsidR="005A7C04" w:rsidRPr="005A7C04">
        <w:t xml:space="preserve"> et al, 2024,</w:t>
      </w:r>
      <w:r w:rsidR="005A7C04" w:rsidRPr="00657883">
        <w:rPr>
          <w:i/>
          <w:iCs/>
        </w:rPr>
        <w:t xml:space="preserve"> </w:t>
      </w:r>
      <w:r w:rsidR="002354F7" w:rsidRPr="002354F7">
        <w:t>v2.1.5)</w:t>
      </w:r>
      <w:r w:rsidR="002354F7">
        <w:t>,</w:t>
      </w:r>
      <w:r w:rsidR="002354F7" w:rsidRPr="002354F7">
        <w:t xml:space="preserve"> </w:t>
      </w:r>
      <w:proofErr w:type="spellStart"/>
      <w:r w:rsidR="002354F7" w:rsidRPr="002354F7">
        <w:t>dplyr</w:t>
      </w:r>
      <w:proofErr w:type="spellEnd"/>
      <w:r w:rsidR="002354F7" w:rsidRPr="002354F7">
        <w:t xml:space="preserve"> </w:t>
      </w:r>
      <w:r w:rsidR="005A7C04" w:rsidRPr="005A7C04">
        <w:t>(</w:t>
      </w:r>
      <w:proofErr w:type="spellStart"/>
      <w:r w:rsidR="005A7C04" w:rsidRPr="005A7C04">
        <w:t>Wickham</w:t>
      </w:r>
      <w:proofErr w:type="spellEnd"/>
      <w:r w:rsidR="005A7C04" w:rsidRPr="005A7C04">
        <w:t xml:space="preserve"> et al., 2023, </w:t>
      </w:r>
      <w:r w:rsidR="002354F7" w:rsidRPr="002354F7">
        <w:t>v1.1.4)</w:t>
      </w:r>
      <w:r w:rsidR="002354F7">
        <w:t xml:space="preserve">, </w:t>
      </w:r>
      <w:proofErr w:type="spellStart"/>
      <w:r w:rsidR="002354F7" w:rsidRPr="002354F7">
        <w:t>Rsamtools</w:t>
      </w:r>
      <w:proofErr w:type="spellEnd"/>
      <w:r w:rsidR="002354F7" w:rsidRPr="002354F7">
        <w:t xml:space="preserve"> en</w:t>
      </w:r>
      <w:r w:rsidR="002354F7">
        <w:t xml:space="preserve"> </w:t>
      </w:r>
      <w:proofErr w:type="spellStart"/>
      <w:r w:rsidR="002354F7" w:rsidRPr="002354F7">
        <w:t>Rsubread</w:t>
      </w:r>
      <w:proofErr w:type="spellEnd"/>
      <w:r w:rsidR="002354F7" w:rsidRPr="002354F7">
        <w:t xml:space="preserve"> en</w:t>
      </w:r>
      <w:r w:rsidR="002354F7">
        <w:t xml:space="preserve"> het </w:t>
      </w:r>
      <w:proofErr w:type="spellStart"/>
      <w:r w:rsidR="002354F7">
        <w:t>annotation</w:t>
      </w:r>
      <w:proofErr w:type="spellEnd"/>
      <w:r>
        <w:t xml:space="preserve"> </w:t>
      </w:r>
      <w:proofErr w:type="gramStart"/>
      <w:r>
        <w:t>NCBI</w:t>
      </w:r>
      <w:r w:rsidR="002354F7">
        <w:t xml:space="preserve"> file</w:t>
      </w:r>
      <w:proofErr w:type="gramEnd"/>
      <w:r w:rsidR="002354F7">
        <w:t xml:space="preserve"> </w:t>
      </w:r>
      <w:r w:rsidR="002354F7" w:rsidRPr="002354F7">
        <w:t>GCF_000001405.25_GRCh37.p13_genomic.gtf.gz</w:t>
      </w:r>
      <w:r>
        <w:t xml:space="preserve"> </w:t>
      </w:r>
      <w:r w:rsidR="002354F7">
        <w:t xml:space="preserve">werd een </w:t>
      </w:r>
      <w:proofErr w:type="spellStart"/>
      <w:r w:rsidR="002354F7">
        <w:t>countmatrix</w:t>
      </w:r>
      <w:proofErr w:type="spellEnd"/>
      <w:r w:rsidR="002354F7">
        <w:t xml:space="preserve"> gemaakt. </w:t>
      </w:r>
      <w:r>
        <w:t>S</w:t>
      </w:r>
      <w:r w:rsidR="002354F7">
        <w:t xml:space="preserve">tatistiek werd uitgevoerd op de </w:t>
      </w:r>
      <w:proofErr w:type="spellStart"/>
      <w:r w:rsidR="002354F7">
        <w:t>count</w:t>
      </w:r>
      <w:proofErr w:type="spellEnd"/>
      <w:r w:rsidR="002354F7">
        <w:t xml:space="preserve"> matrix file: </w:t>
      </w:r>
      <w:r w:rsidR="002354F7" w:rsidRPr="002354F7">
        <w:t>count_matrix.txt</w:t>
      </w:r>
      <w:r w:rsidR="002354F7">
        <w:t xml:space="preserve">. Een </w:t>
      </w:r>
      <w:r w:rsidR="002354F7" w:rsidRPr="002354F7">
        <w:t>DESeq2-analyse</w:t>
      </w:r>
      <w:r w:rsidR="002354F7">
        <w:t xml:space="preserve"> werd uitgevoerd met </w:t>
      </w:r>
      <w:r w:rsidR="002354F7" w:rsidRPr="002354F7">
        <w:t xml:space="preserve">DESeq2 </w:t>
      </w:r>
      <w:r w:rsidR="00F854AE">
        <w:t>(</w:t>
      </w:r>
      <w:r w:rsidR="005A7C04" w:rsidRPr="005A7C04">
        <w:t>Love</w:t>
      </w:r>
      <w:r w:rsidR="005A7C04">
        <w:t xml:space="preserve"> et al., 2024, </w:t>
      </w:r>
      <w:r w:rsidR="00F854AE">
        <w:t>v</w:t>
      </w:r>
      <w:r w:rsidR="00F854AE" w:rsidRPr="00F854AE">
        <w:t>1.46.0</w:t>
      </w:r>
      <w:r w:rsidR="00F854AE">
        <w:t>)</w:t>
      </w:r>
      <w:r>
        <w:t>. Resul</w:t>
      </w:r>
      <w:r w:rsidR="00F854AE">
        <w:t xml:space="preserve">taten werden gevisualiseerd in een </w:t>
      </w:r>
      <w:proofErr w:type="spellStart"/>
      <w:r w:rsidR="00F854AE">
        <w:t>vulcano</w:t>
      </w:r>
      <w:proofErr w:type="spellEnd"/>
      <w:r w:rsidR="00F854AE">
        <w:t xml:space="preserve"> plot </w:t>
      </w:r>
      <w:proofErr w:type="spellStart"/>
      <w:r w:rsidR="00F854AE">
        <w:t>m.b.v</w:t>
      </w:r>
      <w:proofErr w:type="spellEnd"/>
      <w:r>
        <w:t xml:space="preserve"> </w:t>
      </w:r>
      <w:proofErr w:type="spellStart"/>
      <w:r w:rsidR="00F854AE" w:rsidRPr="00F854AE">
        <w:t>EnhancedVolcano</w:t>
      </w:r>
      <w:proofErr w:type="spellEnd"/>
      <w:r w:rsidR="00F854AE">
        <w:t xml:space="preserve"> </w:t>
      </w:r>
      <w:r w:rsidR="005A7C04" w:rsidRPr="005A7C04">
        <w:t>(</w:t>
      </w:r>
      <w:proofErr w:type="spellStart"/>
      <w:r w:rsidR="005A7C04" w:rsidRPr="005A7C04">
        <w:t>Blighe</w:t>
      </w:r>
      <w:proofErr w:type="spellEnd"/>
      <w:r w:rsidR="005A7C04">
        <w:t xml:space="preserve"> et al., 2024, </w:t>
      </w:r>
      <w:r w:rsidR="00F854AE">
        <w:t>v</w:t>
      </w:r>
      <w:r w:rsidR="00F854AE" w:rsidRPr="00F854AE">
        <w:t>1.24.0</w:t>
      </w:r>
      <w:r w:rsidR="00F854AE">
        <w:t xml:space="preserve">) en </w:t>
      </w:r>
      <w:r w:rsidR="00F854AE" w:rsidRPr="005A7C04">
        <w:t>ggplot2 (</w:t>
      </w:r>
      <w:proofErr w:type="spellStart"/>
      <w:r w:rsidR="005A7C04" w:rsidRPr="005A7C04">
        <w:t>Wickham</w:t>
      </w:r>
      <w:proofErr w:type="spellEnd"/>
      <w:r w:rsidR="005A7C04" w:rsidRPr="005A7C04">
        <w:t xml:space="preserve"> et al., 2024</w:t>
      </w:r>
      <w:r w:rsidR="005A7C04">
        <w:rPr>
          <w:i/>
          <w:iCs/>
        </w:rPr>
        <w:t xml:space="preserve">, </w:t>
      </w:r>
      <w:r w:rsidR="00F854AE">
        <w:t>v</w:t>
      </w:r>
      <w:r w:rsidR="00F854AE" w:rsidRPr="00F854AE">
        <w:t>3.5.2</w:t>
      </w:r>
      <w:r w:rsidR="00F854AE">
        <w:t xml:space="preserve">). Een </w:t>
      </w:r>
      <w:r w:rsidR="00F854AE" w:rsidRPr="00F854AE">
        <w:t xml:space="preserve">Gene </w:t>
      </w:r>
      <w:proofErr w:type="spellStart"/>
      <w:r w:rsidR="00F854AE" w:rsidRPr="00F854AE">
        <w:t>Ontology</w:t>
      </w:r>
      <w:proofErr w:type="spellEnd"/>
      <w:r w:rsidR="00F854AE" w:rsidRPr="00F854AE">
        <w:t xml:space="preserve"> (GO)-verrijkingsanalyse</w:t>
      </w:r>
      <w:r w:rsidR="00F854AE">
        <w:t xml:space="preserve"> werd </w:t>
      </w:r>
      <w:proofErr w:type="spellStart"/>
      <w:r w:rsidR="00F854AE">
        <w:t>m.</w:t>
      </w:r>
      <w:proofErr w:type="gramStart"/>
      <w:r w:rsidR="00F854AE">
        <w:t>b.v</w:t>
      </w:r>
      <w:proofErr w:type="spellEnd"/>
      <w:proofErr w:type="gramEnd"/>
      <w:r w:rsidR="00F854AE">
        <w:t xml:space="preserve"> </w:t>
      </w:r>
      <w:proofErr w:type="spellStart"/>
      <w:r w:rsidR="00F854AE" w:rsidRPr="00F854AE">
        <w:t>goseq</w:t>
      </w:r>
      <w:proofErr w:type="spellEnd"/>
      <w:r w:rsidR="00F854AE">
        <w:t xml:space="preserve"> </w:t>
      </w:r>
      <w:r w:rsidR="00E97B79" w:rsidRPr="00657883">
        <w:t>(</w:t>
      </w:r>
      <w:r w:rsidR="000443A9" w:rsidRPr="00657883">
        <w:t xml:space="preserve">Young, Davidson, &amp; </w:t>
      </w:r>
      <w:proofErr w:type="spellStart"/>
      <w:r w:rsidR="000443A9" w:rsidRPr="00657883">
        <w:t>Marini</w:t>
      </w:r>
      <w:proofErr w:type="spellEnd"/>
      <w:r w:rsidR="000443A9" w:rsidRPr="000443A9">
        <w:rPr>
          <w:i/>
          <w:iCs/>
        </w:rPr>
        <w:t>, 2024,</w:t>
      </w:r>
      <w:r w:rsidR="00E97B79">
        <w:rPr>
          <w:i/>
          <w:iCs/>
        </w:rPr>
        <w:t xml:space="preserve"> </w:t>
      </w:r>
      <w:r w:rsidR="00F854AE">
        <w:t>v</w:t>
      </w:r>
      <w:r w:rsidR="00F854AE" w:rsidRPr="00F854AE">
        <w:t>1.58.0</w:t>
      </w:r>
      <w:r w:rsidR="00F854AE">
        <w:t xml:space="preserve">), </w:t>
      </w:r>
      <w:proofErr w:type="spellStart"/>
      <w:r w:rsidR="00F854AE" w:rsidRPr="00F854AE">
        <w:t>geneLenDataBase</w:t>
      </w:r>
      <w:proofErr w:type="spellEnd"/>
      <w:r w:rsidR="00F854AE">
        <w:t xml:space="preserve"> </w:t>
      </w:r>
      <w:r w:rsidR="00F854AE" w:rsidRPr="00657883">
        <w:t>(</w:t>
      </w:r>
      <w:r w:rsidR="000443A9" w:rsidRPr="00657883">
        <w:t xml:space="preserve">Young, Davidson, &amp; </w:t>
      </w:r>
      <w:proofErr w:type="spellStart"/>
      <w:r w:rsidR="000443A9" w:rsidRPr="00657883">
        <w:t>Marini</w:t>
      </w:r>
      <w:proofErr w:type="spellEnd"/>
      <w:r w:rsidR="000443A9" w:rsidRPr="00657883">
        <w:t>, 2024</w:t>
      </w:r>
      <w:r w:rsidR="000443A9">
        <w:rPr>
          <w:i/>
          <w:iCs/>
        </w:rPr>
        <w:t xml:space="preserve">, </w:t>
      </w:r>
      <w:r w:rsidR="00F854AE">
        <w:t xml:space="preserve">v </w:t>
      </w:r>
      <w:r w:rsidR="00F854AE" w:rsidRPr="00F854AE">
        <w:t>1.42.0</w:t>
      </w:r>
      <w:r w:rsidR="00F854AE">
        <w:t xml:space="preserve">) en </w:t>
      </w:r>
      <w:proofErr w:type="spellStart"/>
      <w:proofErr w:type="gramStart"/>
      <w:r w:rsidR="00F854AE" w:rsidRPr="00F854AE">
        <w:t>org.Dm.eg.db</w:t>
      </w:r>
      <w:proofErr w:type="spellEnd"/>
      <w:r w:rsidR="00F854AE">
        <w:t xml:space="preserve">  </w:t>
      </w:r>
      <w:r w:rsidR="00F854AE" w:rsidRPr="009518BE">
        <w:t>(</w:t>
      </w:r>
      <w:proofErr w:type="gramEnd"/>
      <w:r w:rsidR="00365D32" w:rsidRPr="009518BE">
        <w:t>Carlson, 2023</w:t>
      </w:r>
      <w:r w:rsidR="00365D32">
        <w:rPr>
          <w:i/>
          <w:iCs/>
        </w:rPr>
        <w:t xml:space="preserve">, </w:t>
      </w:r>
      <w:r w:rsidR="00F854AE">
        <w:t xml:space="preserve">v </w:t>
      </w:r>
      <w:r w:rsidR="00F854AE" w:rsidRPr="00F854AE">
        <w:t>3.20.0</w:t>
      </w:r>
      <w:r>
        <w:t>). De</w:t>
      </w:r>
      <w:r w:rsidR="00E97B79">
        <w:t xml:space="preserve"> </w:t>
      </w:r>
      <w:r w:rsidR="00E97B79" w:rsidRPr="00E97B79">
        <w:t>10 meest significante resultaten</w:t>
      </w:r>
      <w:r w:rsidR="00E97B79">
        <w:t xml:space="preserve"> werden</w:t>
      </w:r>
      <w:r>
        <w:t xml:space="preserve"> gevisualiseerd. </w:t>
      </w:r>
      <w:r w:rsidR="00E97B79">
        <w:t xml:space="preserve">Een KEGG </w:t>
      </w:r>
      <w:proofErr w:type="spellStart"/>
      <w:r w:rsidR="00E97B79">
        <w:t>pathway</w:t>
      </w:r>
      <w:proofErr w:type="spellEnd"/>
      <w:r w:rsidR="00E97B79">
        <w:t xml:space="preserve"> analyse werd uitgevoerd </w:t>
      </w:r>
      <w:proofErr w:type="spellStart"/>
      <w:r w:rsidR="00E97B79">
        <w:t>m.b.v</w:t>
      </w:r>
      <w:proofErr w:type="spellEnd"/>
      <w:r w:rsidR="00E97B79">
        <w:t xml:space="preserve"> </w:t>
      </w:r>
      <w:r w:rsidR="00E97B79" w:rsidRPr="00F854AE">
        <w:t xml:space="preserve">KEGGREST </w:t>
      </w:r>
      <w:r w:rsidR="00E97B79" w:rsidRPr="000443A9">
        <w:t>(</w:t>
      </w:r>
      <w:proofErr w:type="spellStart"/>
      <w:r w:rsidR="000443A9" w:rsidRPr="000443A9">
        <w:t>Tenenbaum</w:t>
      </w:r>
      <w:proofErr w:type="spellEnd"/>
      <w:r w:rsidR="000443A9" w:rsidRPr="000443A9">
        <w:t xml:space="preserve"> et al., 2024, </w:t>
      </w:r>
      <w:r w:rsidR="00E97B79">
        <w:t>v</w:t>
      </w:r>
      <w:r w:rsidR="00E97B79" w:rsidRPr="00F854AE">
        <w:t>1.46.0</w:t>
      </w:r>
      <w:r w:rsidR="00E97B79">
        <w:t xml:space="preserve">) en de resultaten van de </w:t>
      </w:r>
      <w:r>
        <w:t>GO-analyse</w:t>
      </w:r>
      <w:r w:rsidR="00E97B79">
        <w:t xml:space="preserve"> waarbij de </w:t>
      </w:r>
      <w:proofErr w:type="spellStart"/>
      <w:r w:rsidR="00E97B79">
        <w:t>pathway</w:t>
      </w:r>
      <w:proofErr w:type="spellEnd"/>
      <w:r>
        <w:t xml:space="preserve"> ‘</w:t>
      </w:r>
      <w:proofErr w:type="spellStart"/>
      <w:r>
        <w:t>rheumatoide</w:t>
      </w:r>
      <w:proofErr w:type="spellEnd"/>
      <w:r>
        <w:t xml:space="preserve"> </w:t>
      </w:r>
      <w:proofErr w:type="spellStart"/>
      <w:r>
        <w:t>arthritis</w:t>
      </w:r>
      <w:proofErr w:type="spellEnd"/>
      <w:r>
        <w:t>’ KEGG ID:</w:t>
      </w:r>
      <w:r w:rsidRPr="004C0FEB">
        <w:t xml:space="preserve"> hsa05323 </w:t>
      </w:r>
      <w:r>
        <w:t xml:space="preserve">uit GO term ‘immune system </w:t>
      </w:r>
      <w:proofErr w:type="spellStart"/>
      <w:r>
        <w:t>process</w:t>
      </w:r>
      <w:proofErr w:type="spellEnd"/>
      <w:r>
        <w:t>’</w:t>
      </w:r>
      <w:r w:rsidR="00E97B79">
        <w:t xml:space="preserve"> </w:t>
      </w:r>
      <w:r w:rsidR="00E97B79" w:rsidRPr="004C0FEB">
        <w:t xml:space="preserve">werd geanalyseerd </w:t>
      </w:r>
      <w:proofErr w:type="spellStart"/>
      <w:r w:rsidR="00E97B79" w:rsidRPr="004C0FEB">
        <w:t>m.b.v</w:t>
      </w:r>
      <w:proofErr w:type="spellEnd"/>
      <w:r w:rsidR="00E97B79" w:rsidRPr="004C0FEB">
        <w:t xml:space="preserve"> </w:t>
      </w:r>
      <w:proofErr w:type="spellStart"/>
      <w:r w:rsidR="00E97B79" w:rsidRPr="004C0FEB">
        <w:t>pathview</w:t>
      </w:r>
      <w:proofErr w:type="spellEnd"/>
      <w:r w:rsidR="00E97B79" w:rsidRPr="004C0FEB">
        <w:t xml:space="preserve"> (</w:t>
      </w:r>
      <w:proofErr w:type="spellStart"/>
      <w:r w:rsidR="000443A9" w:rsidRPr="000443A9">
        <w:t>Luo</w:t>
      </w:r>
      <w:proofErr w:type="spellEnd"/>
      <w:r w:rsidR="000443A9" w:rsidRPr="000443A9">
        <w:t>, 2024</w:t>
      </w:r>
      <w:r w:rsidR="000443A9">
        <w:rPr>
          <w:i/>
          <w:iCs/>
        </w:rPr>
        <w:t xml:space="preserve">, </w:t>
      </w:r>
      <w:r w:rsidR="00E97B79" w:rsidRPr="004C0FEB">
        <w:t xml:space="preserve">v1.46.0). </w:t>
      </w:r>
    </w:p>
    <w:p w14:paraId="4E0DB3B0" w14:textId="77777777" w:rsidR="002011F9" w:rsidRPr="004C0FEB" w:rsidRDefault="002011F9" w:rsidP="000443A9"/>
    <w:p w14:paraId="30749B9E" w14:textId="4AF1CF3A" w:rsidR="002011F9" w:rsidRPr="004C0FEB" w:rsidRDefault="002011F9" w:rsidP="002011F9">
      <w:r>
        <w:rPr>
          <w:noProof/>
        </w:rPr>
        <w:t xml:space="preserve">Er werden </w:t>
      </w:r>
      <w:r>
        <w:t>4 samples van personen zonder RA (ACPA negatief) en 4 samples van RA</w:t>
      </w:r>
      <w:r w:rsidR="00D345E4">
        <w:t xml:space="preserve">-patiënten </w:t>
      </w:r>
      <w:r>
        <w:t>(</w:t>
      </w:r>
      <w:r w:rsidRPr="00697E63">
        <w:t>diagnose &gt;12 maanden</w:t>
      </w:r>
      <w:r>
        <w:t xml:space="preserve">, ACPA positief) verkregen uit een </w:t>
      </w:r>
      <w:proofErr w:type="spellStart"/>
      <w:r>
        <w:t>synoviumbiopt</w:t>
      </w:r>
      <w:proofErr w:type="spellEnd"/>
      <w:r>
        <w:t xml:space="preserve">. Informatie over deelnemers is te vinden in </w:t>
      </w:r>
      <w:r w:rsidRPr="00657883">
        <w:rPr>
          <w:highlight w:val="yellow"/>
        </w:rPr>
        <w:t>tabel…. In</w:t>
      </w:r>
      <w:r>
        <w:t xml:space="preserve">…. </w:t>
      </w:r>
      <w:proofErr w:type="spellStart"/>
      <w:r>
        <w:t>Sequencing</w:t>
      </w:r>
      <w:proofErr w:type="spellEnd"/>
      <w:r>
        <w:t xml:space="preserve"> werd uitgevoerd waarna</w:t>
      </w:r>
      <w:r w:rsidRPr="00697E63">
        <w:t xml:space="preserve"> </w:t>
      </w:r>
      <w:r>
        <w:t xml:space="preserve">een </w:t>
      </w:r>
      <w:proofErr w:type="spellStart"/>
      <w:r w:rsidRPr="00697E63">
        <w:t>transcriptomics</w:t>
      </w:r>
      <w:proofErr w:type="spellEnd"/>
      <w:r w:rsidRPr="00697E63">
        <w:t xml:space="preserve"> analyse werd u</w:t>
      </w:r>
      <w:r>
        <w:t xml:space="preserve">itgevoerd in R, scripts zijn te vinden in </w:t>
      </w:r>
      <w:proofErr w:type="gramStart"/>
      <w:r w:rsidRPr="002011F9">
        <w:rPr>
          <w:highlight w:val="yellow"/>
        </w:rPr>
        <w:t>…….</w:t>
      </w:r>
      <w:proofErr w:type="gramEnd"/>
      <w:r w:rsidRPr="002011F9">
        <w:rPr>
          <w:highlight w:val="yellow"/>
        </w:rPr>
        <w:t>.</w:t>
      </w:r>
      <w:r>
        <w:t xml:space="preserve"> </w:t>
      </w:r>
      <w:proofErr w:type="gramStart"/>
      <w:r>
        <w:t>en</w:t>
      </w:r>
      <w:proofErr w:type="gramEnd"/>
      <w:r>
        <w:t xml:space="preserve"> flowschema is weergegeven in figuur 1. </w:t>
      </w:r>
      <w:r w:rsidRPr="00697E63">
        <w:t>Het referentiegenoom werd</w:t>
      </w:r>
      <w:r>
        <w:t xml:space="preserve"> </w:t>
      </w:r>
      <w:r w:rsidRPr="00697E63">
        <w:t>geïndexeerd m</w:t>
      </w:r>
      <w:r>
        <w:t xml:space="preserve">et behulp van het menselijke referentiegenoom uit het NCBI-file: </w:t>
      </w:r>
      <w:r w:rsidRPr="00697E63">
        <w:t>GCF_000001405.40_GRCh38.p14_genomic.fna</w:t>
      </w:r>
      <w:r>
        <w:t xml:space="preserve">, en de packages </w:t>
      </w:r>
      <w:proofErr w:type="spellStart"/>
      <w:r w:rsidRPr="00697E63">
        <w:t>BiocManager</w:t>
      </w:r>
      <w:proofErr w:type="spellEnd"/>
      <w:r>
        <w:t xml:space="preserve"> en </w:t>
      </w:r>
      <w:proofErr w:type="spellStart"/>
      <w:r w:rsidRPr="00365D32">
        <w:t>Rsubread</w:t>
      </w:r>
      <w:proofErr w:type="spellEnd"/>
      <w:r>
        <w:t xml:space="preserve">. Monsters werden </w:t>
      </w:r>
      <w:proofErr w:type="spellStart"/>
      <w:r>
        <w:t>gemapt</w:t>
      </w:r>
      <w:proofErr w:type="spellEnd"/>
      <w:r>
        <w:t xml:space="preserve"> tegen het geïndexeerde referentiegenoom waaruit BAM-files ontstonden. BAM-files werden gesorteerd en geïndexeerd </w:t>
      </w:r>
      <w:proofErr w:type="spellStart"/>
      <w:r>
        <w:t>m.b.v</w:t>
      </w:r>
      <w:proofErr w:type="spellEnd"/>
      <w:r>
        <w:t xml:space="preserve"> </w:t>
      </w:r>
      <w:proofErr w:type="spellStart"/>
      <w:r w:rsidRPr="00DE16F5">
        <w:t>Rsamtools</w:t>
      </w:r>
      <w:proofErr w:type="spellEnd"/>
      <w:r>
        <w:t xml:space="preserve">.  </w:t>
      </w:r>
      <w:proofErr w:type="spellStart"/>
      <w:r w:rsidRPr="005A7C04">
        <w:t>M.b.v</w:t>
      </w:r>
      <w:proofErr w:type="spellEnd"/>
      <w:r w:rsidRPr="005A7C04">
        <w:t xml:space="preserve"> </w:t>
      </w:r>
      <w:proofErr w:type="spellStart"/>
      <w:r w:rsidRPr="005A7C04">
        <w:t>readr</w:t>
      </w:r>
      <w:proofErr w:type="spellEnd"/>
      <w:r>
        <w:t xml:space="preserve">, </w:t>
      </w:r>
      <w:proofErr w:type="spellStart"/>
      <w:r w:rsidRPr="002354F7">
        <w:t>dplyr</w:t>
      </w:r>
      <w:proofErr w:type="spellEnd"/>
      <w:r>
        <w:t xml:space="preserve">, </w:t>
      </w:r>
      <w:proofErr w:type="spellStart"/>
      <w:r w:rsidRPr="002354F7">
        <w:t>Rsamtools</w:t>
      </w:r>
      <w:proofErr w:type="spellEnd"/>
      <w:r w:rsidRPr="002354F7">
        <w:t xml:space="preserve"> en</w:t>
      </w:r>
      <w:r>
        <w:t xml:space="preserve"> </w:t>
      </w:r>
      <w:proofErr w:type="spellStart"/>
      <w:r w:rsidRPr="002354F7">
        <w:t>Rsubread</w:t>
      </w:r>
      <w:proofErr w:type="spellEnd"/>
      <w:r w:rsidRPr="002354F7">
        <w:t xml:space="preserve"> en</w:t>
      </w:r>
      <w:r>
        <w:t xml:space="preserve"> het </w:t>
      </w:r>
      <w:proofErr w:type="spellStart"/>
      <w:r>
        <w:t>annotation</w:t>
      </w:r>
      <w:proofErr w:type="spellEnd"/>
      <w:r>
        <w:t xml:space="preserve"> </w:t>
      </w:r>
      <w:r w:rsidR="00D345E4">
        <w:t>NCBI-file</w:t>
      </w:r>
      <w:r>
        <w:t xml:space="preserve"> </w:t>
      </w:r>
      <w:r w:rsidRPr="002354F7">
        <w:t>GCF_000001405.25_GRCh37.p13_genomic.gtf.gz</w:t>
      </w:r>
      <w:r>
        <w:t xml:space="preserve"> werd een </w:t>
      </w:r>
      <w:proofErr w:type="spellStart"/>
      <w:r>
        <w:t>countmatrix</w:t>
      </w:r>
      <w:proofErr w:type="spellEnd"/>
      <w:r>
        <w:t xml:space="preserve"> gemaakt. Statistiek werd uitgevoerd op de </w:t>
      </w:r>
      <w:proofErr w:type="spellStart"/>
      <w:r>
        <w:t>count</w:t>
      </w:r>
      <w:proofErr w:type="spellEnd"/>
      <w:r>
        <w:t xml:space="preserve"> matrix file: </w:t>
      </w:r>
      <w:r w:rsidRPr="002354F7">
        <w:t>count_matrix.txt</w:t>
      </w:r>
      <w:r>
        <w:t xml:space="preserve">. Een </w:t>
      </w:r>
      <w:r w:rsidRPr="002354F7">
        <w:t>DESeq2-analyse</w:t>
      </w:r>
      <w:r>
        <w:t xml:space="preserve"> werd uitgevoerd met </w:t>
      </w:r>
      <w:r w:rsidRPr="002354F7">
        <w:t>DESeq2</w:t>
      </w:r>
      <w:r>
        <w:t xml:space="preserve">. Resultaten werden gevisualiseerd in een </w:t>
      </w:r>
      <w:proofErr w:type="spellStart"/>
      <w:r>
        <w:t>vulcano</w:t>
      </w:r>
      <w:proofErr w:type="spellEnd"/>
      <w:r>
        <w:t xml:space="preserve"> plot </w:t>
      </w:r>
      <w:proofErr w:type="spellStart"/>
      <w:r>
        <w:t>m.b.v</w:t>
      </w:r>
      <w:proofErr w:type="spellEnd"/>
      <w:r>
        <w:t xml:space="preserve"> </w:t>
      </w:r>
      <w:proofErr w:type="spellStart"/>
      <w:r w:rsidRPr="00F854AE">
        <w:t>EnhancedVolcano</w:t>
      </w:r>
      <w:proofErr w:type="spellEnd"/>
      <w:r>
        <w:t xml:space="preserve"> en </w:t>
      </w:r>
      <w:r w:rsidRPr="005A7C04">
        <w:t>ggplot2</w:t>
      </w:r>
      <w:r>
        <w:t xml:space="preserve">. Een </w:t>
      </w:r>
      <w:r w:rsidRPr="00F854AE">
        <w:t xml:space="preserve">Gene </w:t>
      </w:r>
      <w:proofErr w:type="spellStart"/>
      <w:r w:rsidRPr="00F854AE">
        <w:t>Ontology</w:t>
      </w:r>
      <w:proofErr w:type="spellEnd"/>
      <w:r w:rsidRPr="00F854AE">
        <w:t xml:space="preserve"> (GO)-verrijkingsanalyse</w:t>
      </w:r>
      <w:r>
        <w:t xml:space="preserve"> werd </w:t>
      </w:r>
      <w:proofErr w:type="spellStart"/>
      <w:r>
        <w:t>m.</w:t>
      </w:r>
      <w:proofErr w:type="gramStart"/>
      <w:r>
        <w:t>b.v</w:t>
      </w:r>
      <w:proofErr w:type="spellEnd"/>
      <w:proofErr w:type="gramEnd"/>
      <w:r>
        <w:t xml:space="preserve"> </w:t>
      </w:r>
      <w:proofErr w:type="spellStart"/>
      <w:proofErr w:type="gramStart"/>
      <w:r w:rsidRPr="00F854AE">
        <w:t>goseq</w:t>
      </w:r>
      <w:proofErr w:type="spellEnd"/>
      <w:r>
        <w:t xml:space="preserve"> ,</w:t>
      </w:r>
      <w:proofErr w:type="gramEnd"/>
      <w:r>
        <w:t xml:space="preserve"> </w:t>
      </w:r>
      <w:proofErr w:type="spellStart"/>
      <w:r w:rsidRPr="00F854AE">
        <w:t>geneLenDataBase</w:t>
      </w:r>
      <w:proofErr w:type="spellEnd"/>
      <w:r>
        <w:t xml:space="preserve"> en </w:t>
      </w:r>
      <w:proofErr w:type="spellStart"/>
      <w:proofErr w:type="gramStart"/>
      <w:r w:rsidRPr="00F854AE">
        <w:t>org.Dm.eg.db</w:t>
      </w:r>
      <w:proofErr w:type="spellEnd"/>
      <w:r>
        <w:t xml:space="preserve"> .</w:t>
      </w:r>
      <w:proofErr w:type="gramEnd"/>
      <w:r>
        <w:t xml:space="preserve"> De </w:t>
      </w:r>
      <w:r w:rsidRPr="00E97B79">
        <w:t>10 meest significante resultaten</w:t>
      </w:r>
      <w:r>
        <w:t xml:space="preserve"> werden gevisualiseerd. Een KEGG </w:t>
      </w:r>
      <w:proofErr w:type="spellStart"/>
      <w:r>
        <w:t>pathway</w:t>
      </w:r>
      <w:proofErr w:type="spellEnd"/>
      <w:r>
        <w:t xml:space="preserve"> analyse werd uitgevoerd </w:t>
      </w:r>
      <w:proofErr w:type="spellStart"/>
      <w:r>
        <w:t>m.b.v</w:t>
      </w:r>
      <w:proofErr w:type="spellEnd"/>
      <w:r>
        <w:t xml:space="preserve"> </w:t>
      </w:r>
      <w:r w:rsidRPr="00F854AE">
        <w:t xml:space="preserve">KEGGREST </w:t>
      </w:r>
      <w:r>
        <w:t xml:space="preserve">en de resultaten van de GO-analyse waarbij de </w:t>
      </w:r>
      <w:proofErr w:type="spellStart"/>
      <w:r>
        <w:t>pathway</w:t>
      </w:r>
      <w:proofErr w:type="spellEnd"/>
      <w:r>
        <w:t xml:space="preserve"> ‘</w:t>
      </w:r>
      <w:proofErr w:type="spellStart"/>
      <w:r>
        <w:t>rheumatoide</w:t>
      </w:r>
      <w:proofErr w:type="spellEnd"/>
      <w:r>
        <w:t xml:space="preserve"> </w:t>
      </w:r>
      <w:proofErr w:type="spellStart"/>
      <w:r>
        <w:t>arthritis</w:t>
      </w:r>
      <w:proofErr w:type="spellEnd"/>
      <w:proofErr w:type="gramStart"/>
      <w:r>
        <w:t>’  met</w:t>
      </w:r>
      <w:proofErr w:type="gramEnd"/>
      <w:r>
        <w:t xml:space="preserve"> KEGG ID:</w:t>
      </w:r>
      <w:r w:rsidRPr="004C0FEB">
        <w:t xml:space="preserve"> hsa05323 </w:t>
      </w:r>
      <w:r>
        <w:t xml:space="preserve">uit GO term ‘immune system </w:t>
      </w:r>
      <w:proofErr w:type="spellStart"/>
      <w:r>
        <w:t>process</w:t>
      </w:r>
      <w:proofErr w:type="spellEnd"/>
      <w:r>
        <w:t xml:space="preserve">’ </w:t>
      </w:r>
      <w:r w:rsidRPr="004C0FEB">
        <w:t xml:space="preserve">werd geanalyseerd </w:t>
      </w:r>
      <w:proofErr w:type="spellStart"/>
      <w:r w:rsidRPr="004C0FEB">
        <w:t>m.b.v</w:t>
      </w:r>
      <w:proofErr w:type="spellEnd"/>
      <w:r w:rsidRPr="004C0FEB">
        <w:t xml:space="preserve"> </w:t>
      </w:r>
      <w:proofErr w:type="spellStart"/>
      <w:r w:rsidRPr="004C0FEB">
        <w:t>pathview</w:t>
      </w:r>
      <w:proofErr w:type="spellEnd"/>
      <w:r>
        <w:t>.</w:t>
      </w:r>
    </w:p>
    <w:p w14:paraId="69BD1D5B" w14:textId="3EB49513" w:rsidR="00C8534A" w:rsidRPr="004C0FEB" w:rsidRDefault="00C8534A" w:rsidP="000443A9"/>
    <w:p w14:paraId="6A547601" w14:textId="40DCDDEE" w:rsidR="00B32847" w:rsidRPr="00751DDC" w:rsidRDefault="00452314">
      <w:r w:rsidRPr="00452314">
        <w:rPr>
          <w:rStyle w:val="Kop1Char"/>
        </w:rPr>
        <w:lastRenderedPageBreak/>
        <w:t>3. Resultaten</w:t>
      </w:r>
      <w:r w:rsidR="005C20DF" w:rsidRPr="005C20DF">
        <w:br/>
        <w:t>- Resultaten: +- 200 woorden, inclusief correcte verwijzingen</w:t>
      </w:r>
    </w:p>
    <w:p w14:paraId="2B70C197" w14:textId="5BEF33DE" w:rsidR="00AA1616" w:rsidRDefault="003A05A0">
      <w:r w:rsidRPr="003A05A0">
        <w:t xml:space="preserve">Er </w:t>
      </w:r>
      <w:r w:rsidR="00EB4455">
        <w:t>werd</w:t>
      </w:r>
      <w:r w:rsidRPr="003A05A0">
        <w:t xml:space="preserve"> een </w:t>
      </w:r>
      <w:proofErr w:type="spellStart"/>
      <w:r w:rsidRPr="003A05A0">
        <w:t>transcriptomics</w:t>
      </w:r>
      <w:proofErr w:type="spellEnd"/>
      <w:r w:rsidRPr="003A05A0">
        <w:t xml:space="preserve"> a</w:t>
      </w:r>
      <w:r>
        <w:t xml:space="preserve">nalyse in R uitgevoerd waarbij een </w:t>
      </w:r>
      <w:proofErr w:type="spellStart"/>
      <w:r w:rsidRPr="00F854AE">
        <w:t>DESeq</w:t>
      </w:r>
      <w:proofErr w:type="spellEnd"/>
      <w:r w:rsidR="003A6CD4">
        <w:t>-</w:t>
      </w:r>
      <w:r>
        <w:t>, GO</w:t>
      </w:r>
      <w:r w:rsidR="003A6CD4">
        <w:t>-</w:t>
      </w:r>
      <w:r>
        <w:t xml:space="preserve"> en </w:t>
      </w:r>
      <w:r w:rsidR="00082FA6">
        <w:t>KEGG-analyse</w:t>
      </w:r>
      <w:r w:rsidR="003A6CD4">
        <w:t xml:space="preserve"> werd</w:t>
      </w:r>
      <w:r>
        <w:t xml:space="preserve"> toegepast. Een </w:t>
      </w:r>
      <w:proofErr w:type="spellStart"/>
      <w:r w:rsidRPr="00F854AE">
        <w:t>DESeq</w:t>
      </w:r>
      <w:proofErr w:type="spellEnd"/>
      <w:r>
        <w:t xml:space="preserve"> analyse werd uitgevoerd om het aantal </w:t>
      </w:r>
      <w:r w:rsidR="00EB4455">
        <w:t>differentiële</w:t>
      </w:r>
      <w:r>
        <w:t xml:space="preserve"> significante up- en </w:t>
      </w:r>
      <w:proofErr w:type="spellStart"/>
      <w:r>
        <w:t>downgereguleerde</w:t>
      </w:r>
      <w:proofErr w:type="spellEnd"/>
      <w:r>
        <w:t xml:space="preserve"> genen te bepalen. </w:t>
      </w:r>
      <w:r w:rsidR="004C0FEB">
        <w:t>R</w:t>
      </w:r>
      <w:r>
        <w:t xml:space="preserve">esultaten zijn weergegeven in </w:t>
      </w:r>
      <w:r w:rsidRPr="00EB4455">
        <w:rPr>
          <w:highlight w:val="yellow"/>
        </w:rPr>
        <w:t>figuur</w:t>
      </w:r>
      <w:r>
        <w:t xml:space="preserve">… </w:t>
      </w:r>
      <w:r w:rsidRPr="003A05A0">
        <w:t xml:space="preserve">De meest statistische significante </w:t>
      </w:r>
      <w:r w:rsidR="003A6CD4">
        <w:t>up-</w:t>
      </w:r>
      <w:r w:rsidR="003A6CD4" w:rsidRPr="003A05A0">
        <w:t>gereguleerde</w:t>
      </w:r>
      <w:r w:rsidR="003A6CD4">
        <w:t xml:space="preserve"> genen</w:t>
      </w:r>
      <w:r w:rsidRPr="003A05A0">
        <w:t xml:space="preserve"> in </w:t>
      </w:r>
      <w:r w:rsidR="00F74916" w:rsidRPr="003A05A0">
        <w:t>reumapatiënten</w:t>
      </w:r>
      <w:r w:rsidRPr="003A05A0">
        <w:t xml:space="preserve"> waren </w:t>
      </w:r>
      <w:r w:rsidR="00076574" w:rsidRPr="003A05A0">
        <w:t>SRGN, BCL2A1</w:t>
      </w:r>
      <w:r w:rsidR="00076574">
        <w:t xml:space="preserve"> </w:t>
      </w:r>
      <w:r>
        <w:t>en down</w:t>
      </w:r>
      <w:r w:rsidR="003A6CD4">
        <w:t>-gereguleerde</w:t>
      </w:r>
      <w:r>
        <w:t xml:space="preserve"> genen waren</w:t>
      </w:r>
      <w:r w:rsidRPr="003A05A0">
        <w:t xml:space="preserve"> </w:t>
      </w:r>
      <w:r w:rsidR="00076574" w:rsidRPr="003A05A0">
        <w:t>ANKRD30BL, MT-ND6, SLC9A3R2, ZNF598</w:t>
      </w:r>
      <w:r>
        <w:t>.</w:t>
      </w:r>
      <w:r w:rsidR="00EB4455">
        <w:t xml:space="preserve"> </w:t>
      </w:r>
    </w:p>
    <w:p w14:paraId="701A76C1" w14:textId="2B17B093" w:rsidR="00FF533F" w:rsidRDefault="00EB4455">
      <w:r>
        <w:t xml:space="preserve">Een GO </w:t>
      </w:r>
      <w:proofErr w:type="spellStart"/>
      <w:r>
        <w:t>analse</w:t>
      </w:r>
      <w:proofErr w:type="spellEnd"/>
      <w:r>
        <w:t xml:space="preserve"> werd uitgevoerd om </w:t>
      </w:r>
      <w:r w:rsidR="004C0FEB">
        <w:t>differentiële</w:t>
      </w:r>
      <w:r>
        <w:t xml:space="preserve"> significante </w:t>
      </w:r>
      <w:proofErr w:type="spellStart"/>
      <w:r>
        <w:t>path</w:t>
      </w:r>
      <w:r w:rsidR="00FF533F">
        <w:t>ways</w:t>
      </w:r>
      <w:proofErr w:type="spellEnd"/>
      <w:r>
        <w:t xml:space="preserve"> te bepalen. </w:t>
      </w:r>
      <w:r w:rsidR="00FF533F">
        <w:t>GO-analyse</w:t>
      </w:r>
      <w:r>
        <w:t xml:space="preserve"> </w:t>
      </w:r>
      <w:r w:rsidR="004C0FEB">
        <w:t>resultaten werden</w:t>
      </w:r>
      <w:r>
        <w:t xml:space="preserve"> gevisualiseerd in </w:t>
      </w:r>
      <w:r w:rsidRPr="00EB4455">
        <w:rPr>
          <w:highlight w:val="yellow"/>
        </w:rPr>
        <w:t>figuur</w:t>
      </w:r>
      <w:r>
        <w:t xml:space="preserve"> …. Uit de analyse bleek dat de </w:t>
      </w:r>
      <w:proofErr w:type="spellStart"/>
      <w:proofErr w:type="gramStart"/>
      <w:r>
        <w:t>pathway</w:t>
      </w:r>
      <w:proofErr w:type="spellEnd"/>
      <w:r>
        <w:t xml:space="preserve"> </w:t>
      </w:r>
      <w:r w:rsidR="00F74916">
        <w:t xml:space="preserve"> </w:t>
      </w:r>
      <w:r>
        <w:t>‘</w:t>
      </w:r>
      <w:proofErr w:type="gramEnd"/>
      <w:r w:rsidR="004C0FEB">
        <w:t xml:space="preserve">immune system </w:t>
      </w:r>
      <w:proofErr w:type="spellStart"/>
      <w:r w:rsidR="004C0FEB">
        <w:t>process</w:t>
      </w:r>
      <w:proofErr w:type="spellEnd"/>
      <w:r w:rsidR="004C0FEB">
        <w:t>’</w:t>
      </w:r>
      <w:r w:rsidR="00F74916">
        <w:t xml:space="preserve"> veel </w:t>
      </w:r>
      <w:r w:rsidR="003A6CD4">
        <w:t>differentiële</w:t>
      </w:r>
      <w:r w:rsidR="00F74916">
        <w:t xml:space="preserve"> significante genen bevatte.</w:t>
      </w:r>
      <w:r w:rsidR="004C0FEB">
        <w:t xml:space="preserve"> </w:t>
      </w:r>
      <w:r w:rsidR="003A6CD4">
        <w:t xml:space="preserve">Omdat deze </w:t>
      </w:r>
      <w:proofErr w:type="spellStart"/>
      <w:r w:rsidR="003A6CD4">
        <w:t>pathway</w:t>
      </w:r>
      <w:proofErr w:type="spellEnd"/>
      <w:r w:rsidR="003A6CD4">
        <w:t xml:space="preserve"> relevant was </w:t>
      </w:r>
      <w:proofErr w:type="spellStart"/>
      <w:r w:rsidR="003A6CD4">
        <w:t>i.v.m</w:t>
      </w:r>
      <w:proofErr w:type="spellEnd"/>
      <w:r w:rsidR="003A6CD4">
        <w:t xml:space="preserve"> RA werd verder onderzoek gedaan </w:t>
      </w:r>
      <w:proofErr w:type="spellStart"/>
      <w:r w:rsidR="003A6CD4">
        <w:t>m.b.v</w:t>
      </w:r>
      <w:proofErr w:type="spellEnd"/>
      <w:r w:rsidR="003A6CD4">
        <w:t xml:space="preserve"> een KEGG-analyse. U</w:t>
      </w:r>
      <w:r w:rsidR="00F74916">
        <w:t>it de</w:t>
      </w:r>
      <w:r w:rsidR="003A6CD4">
        <w:t>ze</w:t>
      </w:r>
      <w:r w:rsidR="00F74916">
        <w:t xml:space="preserve"> </w:t>
      </w:r>
      <w:proofErr w:type="spellStart"/>
      <w:r w:rsidR="00F74916">
        <w:t>pathway</w:t>
      </w:r>
      <w:proofErr w:type="spellEnd"/>
      <w:r w:rsidR="003A6CD4">
        <w:t xml:space="preserve"> werd de </w:t>
      </w:r>
      <w:r w:rsidR="00F74916">
        <w:t>‘</w:t>
      </w:r>
      <w:proofErr w:type="spellStart"/>
      <w:r w:rsidR="00F74916">
        <w:t>rheumatoide</w:t>
      </w:r>
      <w:proofErr w:type="spellEnd"/>
      <w:r w:rsidR="00F74916">
        <w:t xml:space="preserve"> </w:t>
      </w:r>
      <w:proofErr w:type="spellStart"/>
      <w:r w:rsidR="00F74916">
        <w:t>arthiritis</w:t>
      </w:r>
      <w:proofErr w:type="spellEnd"/>
      <w:r w:rsidR="00F74916">
        <w:t xml:space="preserve">’ </w:t>
      </w:r>
      <w:proofErr w:type="spellStart"/>
      <w:r w:rsidR="00F74916">
        <w:t>pathway</w:t>
      </w:r>
      <w:proofErr w:type="spellEnd"/>
      <w:r w:rsidR="003A6CD4">
        <w:t xml:space="preserve"> </w:t>
      </w:r>
      <w:r w:rsidR="00F74916">
        <w:t>gevisualiseerd,</w:t>
      </w:r>
      <w:r w:rsidR="00FF533F">
        <w:t xml:space="preserve"> resultaten zijn weergegeven in </w:t>
      </w:r>
      <w:r w:rsidR="00FF533F" w:rsidRPr="00FF533F">
        <w:rPr>
          <w:highlight w:val="yellow"/>
        </w:rPr>
        <w:t>figuur</w:t>
      </w:r>
      <w:r w:rsidR="00FF533F">
        <w:t xml:space="preserve"> … </w:t>
      </w:r>
      <w:r w:rsidR="003A6CD4">
        <w:t xml:space="preserve">waarin </w:t>
      </w:r>
      <w:r w:rsidR="00F74916">
        <w:t>differentieel</w:t>
      </w:r>
      <w:r w:rsidR="003A6CD4">
        <w:t xml:space="preserve"> significante gen</w:t>
      </w:r>
      <w:r w:rsidR="00F74916">
        <w:t>expressie</w:t>
      </w:r>
      <w:r w:rsidR="003A6CD4">
        <w:t xml:space="preserve"> zichtbaar is</w:t>
      </w:r>
      <w:r w:rsidR="00F74916">
        <w:t xml:space="preserve">. </w:t>
      </w:r>
      <w:r w:rsidR="007B5C80">
        <w:t xml:space="preserve">In het begin van de </w:t>
      </w:r>
      <w:proofErr w:type="spellStart"/>
      <w:r w:rsidR="007B5C80">
        <w:t>pathway</w:t>
      </w:r>
      <w:proofErr w:type="spellEnd"/>
      <w:r w:rsidR="007B5C80">
        <w:t xml:space="preserve"> waren genen van dendritische cellen (DC), zelf-reactieve Th1 cellen en synoviale fibroblasten </w:t>
      </w:r>
      <w:proofErr w:type="spellStart"/>
      <w:r w:rsidR="007B5C80">
        <w:t>upgereguleerd</w:t>
      </w:r>
      <w:proofErr w:type="spellEnd"/>
      <w:r w:rsidR="007B5C80">
        <w:t xml:space="preserve">. </w:t>
      </w:r>
      <w:r w:rsidR="00F74916">
        <w:t xml:space="preserve">Genen die zorgen voor </w:t>
      </w:r>
      <w:r w:rsidR="007D6F0D">
        <w:t>a</w:t>
      </w:r>
      <w:r w:rsidR="00F74916">
        <w:t xml:space="preserve">ngiogenesis, infiltratie van </w:t>
      </w:r>
      <w:r w:rsidR="002011F9">
        <w:t>inflammatoire</w:t>
      </w:r>
      <w:r w:rsidR="00F74916">
        <w:t xml:space="preserve"> cellen</w:t>
      </w:r>
      <w:r w:rsidR="007B5C80">
        <w:t xml:space="preserve"> (CCL en CXCL)</w:t>
      </w:r>
      <w:r w:rsidR="00F74916">
        <w:t xml:space="preserve">, ontsteking van synoviale </w:t>
      </w:r>
      <w:proofErr w:type="spellStart"/>
      <w:r w:rsidR="00F74916">
        <w:t>pannus</w:t>
      </w:r>
      <w:proofErr w:type="spellEnd"/>
      <w:r w:rsidR="007B5C80">
        <w:t xml:space="preserve"> (IL6 en </w:t>
      </w:r>
      <w:r w:rsidR="007B5C80" w:rsidRPr="0054276C">
        <w:t>IL1</w:t>
      </w:r>
      <w:r w:rsidR="007B5C80" w:rsidRPr="00261996">
        <w:t>β</w:t>
      </w:r>
      <w:r w:rsidR="007B5C80">
        <w:t>)</w:t>
      </w:r>
      <w:r w:rsidR="00F74916">
        <w:t>, gewrichts</w:t>
      </w:r>
      <w:r w:rsidR="007B5C80">
        <w:t>-</w:t>
      </w:r>
      <w:r w:rsidR="00F74916">
        <w:t xml:space="preserve">en botafbraak </w:t>
      </w:r>
      <w:r w:rsidR="007B5C80">
        <w:t xml:space="preserve">(osteoclasten) </w:t>
      </w:r>
      <w:r w:rsidR="00F74916">
        <w:t xml:space="preserve">waren sterk </w:t>
      </w:r>
      <w:proofErr w:type="spellStart"/>
      <w:r w:rsidR="00F74916">
        <w:t>upgereguleerd</w:t>
      </w:r>
      <w:proofErr w:type="spellEnd"/>
      <w:r w:rsidR="00F74916">
        <w:t xml:space="preserve">. </w:t>
      </w:r>
    </w:p>
    <w:p w14:paraId="1A6E2FDF" w14:textId="277C4569" w:rsidR="001861D7" w:rsidRDefault="001861D7"/>
    <w:p w14:paraId="7F75E3F7" w14:textId="3FD8B407" w:rsidR="001861D7" w:rsidRPr="003A6CD4" w:rsidRDefault="001861D7">
      <w:pPr>
        <w:rPr>
          <w:lang w:val="en-US"/>
        </w:rPr>
      </w:pPr>
      <w:r w:rsidRPr="003A6CD4">
        <w:rPr>
          <w:highlight w:val="yellow"/>
          <w:lang w:val="en-US"/>
        </w:rPr>
        <w:t>Tutorials</w:t>
      </w:r>
      <w:r w:rsidRPr="003A6CD4">
        <w:rPr>
          <w:lang w:val="en-US"/>
        </w:rPr>
        <w:t xml:space="preserve"> </w:t>
      </w:r>
    </w:p>
    <w:p w14:paraId="169F9A08" w14:textId="4671E515" w:rsidR="003A05A0" w:rsidRPr="001861D7" w:rsidRDefault="001861D7">
      <w:pPr>
        <w:rPr>
          <w:lang w:val="en-GB"/>
        </w:rPr>
      </w:pPr>
      <w:r w:rsidRPr="001861D7">
        <w:rPr>
          <w:lang w:val="en-GB"/>
        </w:rPr>
        <w:t>(Bioinformatics Core Shared Training, 2020)</w:t>
      </w:r>
    </w:p>
    <w:p w14:paraId="58492B50" w14:textId="2E4762DF" w:rsidR="001861D7" w:rsidRDefault="001861D7">
      <w:pPr>
        <w:rPr>
          <w:lang w:val="en-GB"/>
        </w:rPr>
      </w:pPr>
      <w:r w:rsidRPr="001861D7">
        <w:rPr>
          <w:lang w:val="en-GB"/>
        </w:rPr>
        <w:t>(Bioinformatics Consulting Group, n.d.)</w:t>
      </w:r>
    </w:p>
    <w:p w14:paraId="05F65B0F" w14:textId="77777777" w:rsidR="009D63B8" w:rsidRDefault="009D63B8">
      <w:pPr>
        <w:rPr>
          <w:lang w:val="en-GB"/>
        </w:rPr>
      </w:pPr>
    </w:p>
    <w:p w14:paraId="19B9CEB5" w14:textId="77777777" w:rsidR="009D63B8" w:rsidRDefault="009D63B8">
      <w:pPr>
        <w:rPr>
          <w:lang w:val="en-GB"/>
        </w:rPr>
      </w:pPr>
    </w:p>
    <w:p w14:paraId="74F1C16E" w14:textId="77777777" w:rsidR="009D63B8" w:rsidRDefault="009D63B8">
      <w:pPr>
        <w:rPr>
          <w:lang w:val="en-GB"/>
        </w:rPr>
      </w:pPr>
    </w:p>
    <w:p w14:paraId="1E6555B3" w14:textId="77777777" w:rsidR="009D63B8" w:rsidRDefault="009D63B8">
      <w:pPr>
        <w:rPr>
          <w:lang w:val="en-GB"/>
        </w:rPr>
      </w:pPr>
    </w:p>
    <w:p w14:paraId="7367DB37" w14:textId="77777777" w:rsidR="009D63B8" w:rsidRDefault="009D63B8">
      <w:pPr>
        <w:rPr>
          <w:lang w:val="en-GB"/>
        </w:rPr>
      </w:pPr>
    </w:p>
    <w:p w14:paraId="467B9E5B" w14:textId="77777777" w:rsidR="009D63B8" w:rsidRDefault="009D63B8">
      <w:pPr>
        <w:rPr>
          <w:lang w:val="en-GB"/>
        </w:rPr>
      </w:pPr>
    </w:p>
    <w:p w14:paraId="606C91E5" w14:textId="77777777" w:rsidR="009D63B8" w:rsidRDefault="009D63B8">
      <w:pPr>
        <w:rPr>
          <w:lang w:val="en-GB"/>
        </w:rPr>
      </w:pPr>
    </w:p>
    <w:p w14:paraId="0A475544" w14:textId="77777777" w:rsidR="009D63B8" w:rsidRDefault="009D63B8">
      <w:pPr>
        <w:rPr>
          <w:lang w:val="en-GB"/>
        </w:rPr>
      </w:pPr>
    </w:p>
    <w:p w14:paraId="00E7F167" w14:textId="77777777" w:rsidR="009D63B8" w:rsidRDefault="009D63B8">
      <w:pPr>
        <w:rPr>
          <w:lang w:val="en-GB"/>
        </w:rPr>
      </w:pPr>
    </w:p>
    <w:p w14:paraId="61EA47F8" w14:textId="77777777" w:rsidR="009D63B8" w:rsidRDefault="009D63B8">
      <w:pPr>
        <w:rPr>
          <w:lang w:val="en-GB"/>
        </w:rPr>
      </w:pPr>
    </w:p>
    <w:p w14:paraId="3B0A82E6" w14:textId="77777777" w:rsidR="009D63B8" w:rsidRDefault="009D63B8">
      <w:pPr>
        <w:rPr>
          <w:lang w:val="en-GB"/>
        </w:rPr>
      </w:pPr>
    </w:p>
    <w:p w14:paraId="1CD73001" w14:textId="77777777" w:rsidR="009D63B8" w:rsidRDefault="009D63B8">
      <w:pPr>
        <w:rPr>
          <w:lang w:val="en-GB"/>
        </w:rPr>
      </w:pPr>
    </w:p>
    <w:p w14:paraId="2B9201D9" w14:textId="77777777" w:rsidR="009D63B8" w:rsidRDefault="009D63B8">
      <w:pPr>
        <w:rPr>
          <w:lang w:val="en-GB"/>
        </w:rPr>
      </w:pPr>
    </w:p>
    <w:p w14:paraId="719FF913" w14:textId="77777777" w:rsidR="009D63B8" w:rsidRDefault="009D63B8">
      <w:pPr>
        <w:rPr>
          <w:lang w:val="en-GB"/>
        </w:rPr>
      </w:pPr>
    </w:p>
    <w:p w14:paraId="5F5357C4" w14:textId="77777777" w:rsidR="009D63B8" w:rsidRDefault="009D63B8">
      <w:pPr>
        <w:rPr>
          <w:lang w:val="en-GB"/>
        </w:rPr>
      </w:pPr>
    </w:p>
    <w:p w14:paraId="3962682D" w14:textId="77777777" w:rsidR="009D63B8" w:rsidRPr="001861D7" w:rsidRDefault="009D63B8">
      <w:pPr>
        <w:rPr>
          <w:lang w:val="en-GB"/>
        </w:rPr>
      </w:pPr>
    </w:p>
    <w:p w14:paraId="0928FFB2" w14:textId="3BF72298" w:rsidR="006651FB" w:rsidRDefault="00855DDC">
      <w:r w:rsidRPr="00855DDC">
        <w:rPr>
          <w:rStyle w:val="Kop1Char"/>
        </w:rPr>
        <w:t>4.Conclusie</w:t>
      </w:r>
      <w:r w:rsidR="005C20DF" w:rsidRPr="005C20DF">
        <w:br/>
        <w:t>- Conclusie: +- 200 woorden, inclusief aanbevelingen en onderzoek in context</w:t>
      </w:r>
      <w:r w:rsidR="005C20DF" w:rsidRPr="005C20DF">
        <w:br/>
        <w:t>plaatsen.</w:t>
      </w:r>
    </w:p>
    <w:p w14:paraId="209CA7E9" w14:textId="23E2EA26" w:rsidR="00417935" w:rsidRDefault="00417935"/>
    <w:p w14:paraId="5B4B2515" w14:textId="2AEA8152" w:rsidR="00312FFB" w:rsidRDefault="00B6561C" w:rsidP="00CE4770">
      <w:r w:rsidRPr="00B6561C">
        <w:t>RA is een auto-immuunziekte waarbij het immuunsysteem verstoord is, zoals uit de resultaten bleek.</w:t>
      </w:r>
      <w:r>
        <w:t xml:space="preserve"> </w:t>
      </w:r>
      <w:r w:rsidR="00FC2E58">
        <w:t xml:space="preserve">De </w:t>
      </w:r>
      <w:proofErr w:type="spellStart"/>
      <w:r w:rsidR="00FC2E58">
        <w:t>DEseq</w:t>
      </w:r>
      <w:proofErr w:type="spellEnd"/>
      <w:r w:rsidR="00FC2E58">
        <w:t xml:space="preserve"> analyse </w:t>
      </w:r>
      <w:r w:rsidR="00F74916">
        <w:t xml:space="preserve">toonde </w:t>
      </w:r>
      <w:r w:rsidR="00E769A5">
        <w:t>verhoogde</w:t>
      </w:r>
      <w:r w:rsidR="00F74916">
        <w:t xml:space="preserve"> </w:t>
      </w:r>
      <w:r w:rsidR="00F74916" w:rsidRPr="00E769A5">
        <w:t xml:space="preserve">genen </w:t>
      </w:r>
      <w:r w:rsidR="00FC2E58" w:rsidRPr="00E769A5">
        <w:t>SRGN</w:t>
      </w:r>
      <w:r w:rsidR="009E06A2" w:rsidRPr="00E769A5">
        <w:t xml:space="preserve"> </w:t>
      </w:r>
      <w:r w:rsidR="00FC2E58" w:rsidRPr="00E769A5">
        <w:t>en BCL2A1</w:t>
      </w:r>
      <w:r w:rsidR="004D33F3" w:rsidRPr="00E769A5">
        <w:t xml:space="preserve">, genen met pro-inflammatoire eigenschappen </w:t>
      </w:r>
      <w:r w:rsidR="004D33F3" w:rsidRPr="00E769A5">
        <w:rPr>
          <w:lang w:val="en-GB"/>
        </w:rPr>
        <w:fldChar w:fldCharType="begin"/>
      </w:r>
      <w:r w:rsidR="004D33F3" w:rsidRPr="00E769A5">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004D33F3" w:rsidRPr="00E769A5">
        <w:rPr>
          <w:lang w:val="en-GB"/>
        </w:rPr>
        <w:instrText>ﬂ</w:instrText>
      </w:r>
      <w:r w:rsidR="004D33F3" w:rsidRPr="00E769A5">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004D33F3" w:rsidRPr="00E769A5">
        <w:rPr>
          <w:lang w:val="en-GB"/>
        </w:rPr>
        <w:instrText>ﬁ</w:instrText>
      </w:r>
      <w:r w:rsidR="004D33F3" w:rsidRPr="00E769A5">
        <w:instrText>ed a total of 1542 and 261 DEGs in UC and RA. There were 169 common DEGs identi</w:instrText>
      </w:r>
      <w:r w:rsidR="004D33F3" w:rsidRPr="00E769A5">
        <w:rPr>
          <w:lang w:val="en-GB"/>
        </w:rPr>
        <w:instrText>ﬁ</w:instrText>
      </w:r>
      <w:r w:rsidR="004D33F3" w:rsidRPr="00E769A5">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004D33F3" w:rsidRPr="00E769A5">
        <w:rPr>
          <w:lang w:val="en-GB"/>
        </w:rPr>
        <w:instrText>ﬂ</w:instrText>
      </w:r>
      <w:r w:rsidR="004D33F3" w:rsidRPr="00E769A5">
        <w:instrText>iximab treatment. The identi</w:instrText>
      </w:r>
      <w:r w:rsidR="004D33F3" w:rsidRPr="00E769A5">
        <w:rPr>
          <w:lang w:val="en-GB"/>
        </w:rPr>
        <w:instrText>ﬁ</w:instrText>
      </w:r>
      <w:r w:rsidR="004D33F3" w:rsidRPr="00E769A5">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004D33F3" w:rsidRPr="00E769A5">
        <w:rPr>
          <w:lang w:val="en-GB"/>
        </w:rPr>
        <w:fldChar w:fldCharType="separate"/>
      </w:r>
      <w:r w:rsidR="004D33F3" w:rsidRPr="00E769A5">
        <w:rPr>
          <w:rFonts w:ascii="Aptos" w:hAnsi="Aptos"/>
        </w:rPr>
        <w:t>(Y. Chen et al., 2020)</w:t>
      </w:r>
      <w:r w:rsidR="004D33F3" w:rsidRPr="00E769A5">
        <w:rPr>
          <w:lang w:val="en-GB"/>
        </w:rPr>
        <w:fldChar w:fldCharType="end"/>
      </w:r>
      <w:r w:rsidR="009E06A2" w:rsidRPr="00E769A5">
        <w:t xml:space="preserve"> </w:t>
      </w:r>
      <w:r w:rsidR="009E06A2" w:rsidRPr="00E769A5">
        <w:fldChar w:fldCharType="begin"/>
      </w:r>
      <w:r w:rsidR="009E06A2" w:rsidRPr="00E769A5">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009E06A2" w:rsidRPr="00E769A5">
        <w:fldChar w:fldCharType="separate"/>
      </w:r>
      <w:r w:rsidR="009E06A2" w:rsidRPr="00E769A5">
        <w:rPr>
          <w:rFonts w:ascii="Aptos" w:hAnsi="Aptos"/>
        </w:rPr>
        <w:t>(Gao et al., 2023)</w:t>
      </w:r>
      <w:r w:rsidR="009E06A2" w:rsidRPr="00E769A5">
        <w:fldChar w:fldCharType="end"/>
      </w:r>
      <w:r w:rsidR="00F74916" w:rsidRPr="00E769A5">
        <w:t>.</w:t>
      </w:r>
      <w:r w:rsidR="004D33F3" w:rsidRPr="00E769A5">
        <w:t xml:space="preserve"> </w:t>
      </w:r>
      <w:proofErr w:type="spellStart"/>
      <w:r w:rsidR="009E06A2" w:rsidRPr="00E769A5">
        <w:t>Downgereguleerde</w:t>
      </w:r>
      <w:proofErr w:type="spellEnd"/>
      <w:r w:rsidR="009E06A2" w:rsidRPr="00E769A5">
        <w:t xml:space="preserve"> genen waren </w:t>
      </w:r>
      <w:r w:rsidR="004D33F3" w:rsidRPr="00E769A5">
        <w:t xml:space="preserve">ANKRD30BL, </w:t>
      </w:r>
      <w:r w:rsidR="00082FA6" w:rsidRPr="00E769A5">
        <w:t xml:space="preserve">MT-ND6, </w:t>
      </w:r>
      <w:r w:rsidR="004D33F3" w:rsidRPr="00E769A5">
        <w:t>SLC9A3R2, ZNF598,</w:t>
      </w:r>
      <w:r w:rsidR="004D33F3">
        <w:rPr>
          <w:b/>
          <w:bCs/>
        </w:rPr>
        <w:t xml:space="preserve"> g</w:t>
      </w:r>
      <w:r w:rsidR="004D33F3">
        <w:t xml:space="preserve">enen met een functie om balans te behouden </w:t>
      </w:r>
      <w:r w:rsidR="004D33F3" w:rsidRPr="006204FD">
        <w:t xml:space="preserve"> </w:t>
      </w:r>
      <w:r w:rsidR="00F74916" w:rsidRPr="006204FD">
        <w:t>(</w:t>
      </w:r>
      <w:r w:rsidR="00082FA6" w:rsidRPr="006204FD">
        <w:t xml:space="preserve">National </w:t>
      </w:r>
      <w:r w:rsidR="00082FA6" w:rsidRPr="001F05E8">
        <w:t xml:space="preserve">Center </w:t>
      </w:r>
      <w:proofErr w:type="spellStart"/>
      <w:r w:rsidR="00082FA6" w:rsidRPr="001F05E8">
        <w:t>for</w:t>
      </w:r>
      <w:proofErr w:type="spellEnd"/>
      <w:r w:rsidR="00082FA6" w:rsidRPr="001F05E8">
        <w:t xml:space="preserve"> </w:t>
      </w:r>
      <w:proofErr w:type="spellStart"/>
      <w:r w:rsidR="00082FA6" w:rsidRPr="001F05E8">
        <w:t>Biotechnology</w:t>
      </w:r>
      <w:proofErr w:type="spellEnd"/>
      <w:r w:rsidR="00082FA6" w:rsidRPr="001F05E8">
        <w:t xml:space="preserve"> Information, 2024)</w:t>
      </w:r>
      <w:r w:rsidR="00F74916">
        <w:t xml:space="preserve"> </w:t>
      </w:r>
      <w:r w:rsidR="00181EFD">
        <w:fldChar w:fldCharType="begin"/>
      </w:r>
      <w:r w:rsidR="00181EFD">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00181EFD" w:rsidRPr="00F74916">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rsidR="00181EFD">
        <w:fldChar w:fldCharType="separate"/>
      </w:r>
      <w:r w:rsidR="00181EFD" w:rsidRPr="00F74916">
        <w:rPr>
          <w:rFonts w:ascii="Aptos" w:hAnsi="Aptos"/>
        </w:rPr>
        <w:t>(Arntz et al., 2024)</w:t>
      </w:r>
      <w:r w:rsidR="00181EFD">
        <w:fldChar w:fldCharType="end"/>
      </w:r>
      <w:r w:rsidR="004D33F3">
        <w:t xml:space="preserve"> </w:t>
      </w:r>
      <w:r w:rsidR="009E06A2">
        <w:fldChar w:fldCharType="begin"/>
      </w:r>
      <w:r w:rsidR="009E06A2">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rsidR="009E06A2">
        <w:fldChar w:fldCharType="separate"/>
      </w:r>
      <w:r w:rsidR="009E06A2" w:rsidRPr="009E06A2">
        <w:rPr>
          <w:rFonts w:ascii="Aptos" w:hAnsi="Aptos"/>
        </w:rPr>
        <w:t>(Oikawa et al., 2023)</w:t>
      </w:r>
      <w:r w:rsidR="009E06A2">
        <w:fldChar w:fldCharType="end"/>
      </w:r>
      <w:r w:rsidR="009E06A2">
        <w:t xml:space="preserve">. </w:t>
      </w:r>
      <w:r w:rsidRPr="00B6561C">
        <w:t xml:space="preserve">In het synoviale weefsel </w:t>
      </w:r>
      <w:r w:rsidR="00E769A5">
        <w:t>waren</w:t>
      </w:r>
      <w:r w:rsidRPr="00B6561C">
        <w:t xml:space="preserve"> </w:t>
      </w:r>
      <w:proofErr w:type="spellStart"/>
      <w:r w:rsidRPr="00B6561C">
        <w:t>DC’s</w:t>
      </w:r>
      <w:proofErr w:type="spellEnd"/>
      <w:r w:rsidRPr="00B6561C">
        <w:t xml:space="preserve"> met MHC klasse 2 verhoogd, wat leidt tot presentatie van lichaamseigen antigenen aan </w:t>
      </w:r>
      <w:proofErr w:type="spellStart"/>
      <w:r w:rsidRPr="00B6561C">
        <w:t>zelfreactieve</w:t>
      </w:r>
      <w:proofErr w:type="spellEnd"/>
      <w:r w:rsidRPr="00B6561C">
        <w:t xml:space="preserve"> Th1-cellen</w:t>
      </w:r>
      <w:r>
        <w:t xml:space="preserve"> </w:t>
      </w:r>
      <w:r w:rsidR="00240B48">
        <w:rPr>
          <w:lang w:val="en-GB"/>
        </w:rPr>
        <w:fldChar w:fldCharType="begin"/>
      </w:r>
      <w:r w:rsidR="00240B48"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sidR="00240B48">
        <w:rPr>
          <w:lang w:val="en-GB"/>
        </w:rPr>
        <w:fldChar w:fldCharType="separate"/>
      </w:r>
      <w:r w:rsidR="00240B48" w:rsidRPr="00240B48">
        <w:rPr>
          <w:rFonts w:ascii="Aptos" w:hAnsi="Aptos"/>
        </w:rPr>
        <w:t>(Wehr et al., 2019)</w:t>
      </w:r>
      <w:r w:rsidR="00240B48">
        <w:rPr>
          <w:lang w:val="en-GB"/>
        </w:rPr>
        <w:fldChar w:fldCharType="end"/>
      </w:r>
      <w:r w:rsidR="00261996" w:rsidRPr="00261996">
        <w:t xml:space="preserve">. </w:t>
      </w:r>
      <w:r w:rsidRPr="00B6561C">
        <w:t xml:space="preserve">Deze stimuleren pro-inflammatoire cytokines (zoals IL-1β, IL-6) die </w:t>
      </w:r>
      <w:proofErr w:type="spellStart"/>
      <w:r w:rsidRPr="00B6561C">
        <w:t>synoviumontsteking</w:t>
      </w:r>
      <w:proofErr w:type="spellEnd"/>
      <w:r w:rsidRPr="00B6561C">
        <w:t xml:space="preserve"> veroorzaken</w:t>
      </w:r>
      <w:r>
        <w:t>.</w:t>
      </w:r>
      <w:r w:rsidR="00E769A5">
        <w:t xml:space="preserve"> </w:t>
      </w:r>
      <w:r w:rsidRPr="00B6561C">
        <w:t xml:space="preserve">Overactieve synoviale fibroblasten activeren osteoclasten, wat botafbraak bevordert </w:t>
      </w:r>
      <w:r w:rsidR="001870DD">
        <w:rPr>
          <w:lang w:val="en-GB"/>
        </w:rPr>
        <w:fldChar w:fldCharType="begin"/>
      </w:r>
      <w:r w:rsidR="001870DD" w:rsidRPr="001870DD">
        <w:instrText xml:space="preserve"> ADDIN ZOTERO_ITEM CSL_CITATION {"citationID":"jSbIJvdb","properties":{"formattedCitation":"(Kov\\uc0\\u225{}cs et al., 2022)","plainCitation":"(Kovács et al., 2022)","noteIndex":0},"citationItems":[{"id":509,"uris":["http://zotero.org/users/local/beyTtIxb/items/BH2RHFT5"],"itemData":{"id":509,"type":"article-journal","abstract":"Conclusions: Our results shed light on the characteristic proteomic changes during human osteoclast differentiation and expression differences in RA and PsA, which reveal important pathophysiological insights in both diseases.","container-title":"Frontiers in Immunology","DOI":"10.3389/fimmu.2022.892970","ISSN":"1664-3224","journalAbbreviation":"Front. Immunol.","language":"en","page":"892970","source":"DOI.org (Crossref)","title":"Proteomic Changes of Osteoclast Differentiation in Rheumatoid and Psoriatic Arthritis Reveal Functional Differences","volume":"13","author":[{"family":"Kovács","given":"Orsolya Tünde"},{"family":"Tóth","given":"Eszter"},{"family":"Ozohanics","given":"Olivér"},{"family":"Soltész-Katona","given":"Eszter"},{"family":"Marton","given":"Nikolett"},{"family":"Buzás","given":"Edit Irén"},{"family":"Hunyady","given":"László"},{"family":"Drahos","given":"László"},{"family":"Turu","given":"Gábor"},{"family":"Nagy","given":"György"}],"issued":{"date-parts":[["2022",7,4]]}}}],"schema":"https://github.com/citation-style-language/schema/raw/master/csl-citation.json"} </w:instrText>
      </w:r>
      <w:r w:rsidR="001870DD">
        <w:rPr>
          <w:lang w:val="en-GB"/>
        </w:rPr>
        <w:fldChar w:fldCharType="separate"/>
      </w:r>
      <w:r w:rsidR="001870DD" w:rsidRPr="001870DD">
        <w:rPr>
          <w:rFonts w:ascii="Aptos" w:hAnsi="Aptos" w:cs="Times New Roman"/>
          <w:kern w:val="0"/>
        </w:rPr>
        <w:t>(Kovács et al., 2022)</w:t>
      </w:r>
      <w:r w:rsidR="001870DD">
        <w:rPr>
          <w:lang w:val="en-GB"/>
        </w:rPr>
        <w:fldChar w:fldCharType="end"/>
      </w:r>
      <w:r w:rsidR="007D6F0D">
        <w:t xml:space="preserve"> </w:t>
      </w:r>
      <w:r w:rsidR="007D6F0D">
        <w:rPr>
          <w:lang w:val="en-GB"/>
        </w:rPr>
        <w:fldChar w:fldCharType="begin"/>
      </w:r>
      <w:r w:rsidR="007D6F0D" w:rsidRPr="00261996">
        <w:instrText xml:space="preserve"> ADDIN ZOTERO_ITEM CSL_CITATION {"citationID":"5CVYhtuk","properties":{"formattedCitation":"(Rahimi-Khorashad et al., 2023)","plainCitation":"(Rahimi-Khorashad et al., 2023)","noteIndex":0},"citationItems":[{"id":505,"uris":["http://zotero.org/users/local/beyTtIxb/items/UE7FMLAJ"],"itemData":{"id":505,"type":"article-journal","abstract":"The therapeutic and immunomodulatory potential of mesenchymal stem cells (MSCs) in rheumatoid arthritis (RA) has attracted considerable scientific attention in recent decades. This study aimed to evaluate the expression of genes encoding interleukin (IL)4 and IL10, as well as interferongamma (IFNG) and transforming growth factor beta (TGFB1) in refractory RA patients following intravenous injection of autologous bone marrow-derived MSCs (BM-MSCs).","container-title":"Iranian Journal of Allergy, Asthma and Immunology","DOI":"10.18502/ijaai.v22i2.12679","ISSN":"1735-5249, 1735-1502","journalAbbreviation":"IJAAI","language":"en","source":"DOI.org (Crossref)","title":"The Effects of Mesenchymal Stem Cells on the Gene Expression of TGF-beta and IFN-gamma in Patients with Rheumatoid Arthritis","URL":"https://publish.kne-publishing.com/index.php/IJAAI/article/view/12679","author":[{"family":"Rahimi-Khorashad","given":"Maryam"},{"family":"Ghoryani","given":"Mohsen"},{"family":"Shabgah","given":"Arezoo Gowhari"},{"family":"Shariati-Sarabi","given":"Zhaleh"},{"family":"Tavakkol-Afshari","given":"Jalil"},{"family":"Mohammadi","given":"Mojgan"}],"accessed":{"date-parts":[["2025",6,9]]},"issued":{"date-parts":[["2023",5,13]]}}}],"schema":"https://github.com/citation-style-language/schema/raw/master/csl-citation.json"} </w:instrText>
      </w:r>
      <w:r w:rsidR="007D6F0D">
        <w:rPr>
          <w:lang w:val="en-GB"/>
        </w:rPr>
        <w:fldChar w:fldCharType="separate"/>
      </w:r>
      <w:r w:rsidR="007D6F0D" w:rsidRPr="006204FD">
        <w:rPr>
          <w:rFonts w:ascii="Aptos" w:hAnsi="Aptos"/>
        </w:rPr>
        <w:t>(Rahimi-Khorashad et al., 2023)</w:t>
      </w:r>
      <w:r w:rsidR="007D6F0D">
        <w:rPr>
          <w:lang w:val="en-GB"/>
        </w:rPr>
        <w:fldChar w:fldCharType="end"/>
      </w:r>
      <w:r w:rsidR="006204FD" w:rsidRPr="006204FD">
        <w:t>.</w:t>
      </w:r>
      <w:r w:rsidR="006204FD">
        <w:t xml:space="preserve"> </w:t>
      </w:r>
      <w:r w:rsidRPr="00B6561C">
        <w:t xml:space="preserve">Angiogenese zorgt voor aanvoer van </w:t>
      </w:r>
      <w:proofErr w:type="spellStart"/>
      <w:r w:rsidRPr="00B6561C">
        <w:t>zelfreactieve</w:t>
      </w:r>
      <w:proofErr w:type="spellEnd"/>
      <w:r w:rsidRPr="00B6561C">
        <w:t xml:space="preserve"> cellen naar het </w:t>
      </w:r>
      <w:proofErr w:type="spellStart"/>
      <w:r w:rsidRPr="00B6561C">
        <w:t>synovium</w:t>
      </w:r>
      <w:proofErr w:type="spellEnd"/>
      <w:r w:rsidRPr="00B6561C">
        <w:t xml:space="preserve">. </w:t>
      </w:r>
      <w:r w:rsidR="006D7181">
        <w:rPr>
          <w:lang w:val="en-GB"/>
        </w:rPr>
        <w:fldChar w:fldCharType="begin"/>
      </w:r>
      <w:r w:rsidR="006D7181" w:rsidRPr="006D7181">
        <w:instrText xml:space="preserve"> ADDIN ZOTERO_ITEM CSL_CITATION {"citationID":"J5uYeGFC","properties":{"formattedCitation":"(Khodadust et al., 2022)","plainCitation":"(Khodadust et al., 2022)","noteIndex":0},"citationItems":[{"id":521,"uris":["http://zotero.org/users/local/beyTtIxb/items/Q29UBSGL"],"itemData":{"id":521,"type":"article-journal","abstract":"Extensive angiogenesis is a characteristic feature in the synovial tissue of rheumatoid arthritis (RA) from a very early stage of the disease onward and constitutes a crucial event for the development of the proliferative synovium. This process is markedly intensified in patients with prolonged disease duration, high disease activity, disease severity, and significant inflammatory cell infiltration. Angiogenesis is therefore an interesting target for the development of new therapeutic approaches as well as disease monitoring strategies in RA. To this end, nuclear imaging modalities represent valuable non-invasive tools that can selectively target molecular markers of angiogenesis and accurately and quantitatively track molecular changes in multiple joints simultaneously. This systematic review summarizes the imaging markers used for single photon emission computed tomography (SPECT) and/or positron emission tomography (PET) approaches, targeting pathways and mediators involved in synovial neo-angiogenesis in RA.","container-title":"International Journal of Molecular Sciences","DOI":"10.3390/ijms23137071","ISSN":"1422-0067","issue":"13","language":"en","license":"http://creativecommons.org/licenses/by/3.0/","note":"number: 13\npublisher: Multidisciplinary Digital Publishing Institute","page":"7071","source":"www.mdpi.com","title":"Systematic Review: Targeted Molecular Imaging of Angiogenesis and Its Mediators in Rheumatoid Arthritis","title-short":"Systematic Review","volume":"23","author":[{"family":"Khodadust","given":"Fatemeh"},{"family":"Ezdoglian","given":"Aiarpi"},{"family":"Steinz","given":"Maarten M."},{"family":"Beijnum","given":"Judy R.","non-dropping-particle":"van"},{"family":"Zwezerijnen","given":"Gerben J. C."},{"family":"Jansen","given":"Gerrit"},{"family":"Tas","given":"Sander W."},{"family":"Laken","given":"Conny J.","non-dropping-particle":"van der"}],"issued":{"date-parts":[["2022",1]]}}}],"schema":"https://github.com/citation-style-language/schema/raw/master/csl-citation.json"} </w:instrText>
      </w:r>
      <w:r w:rsidR="006D7181">
        <w:rPr>
          <w:lang w:val="en-GB"/>
        </w:rPr>
        <w:fldChar w:fldCharType="separate"/>
      </w:r>
      <w:r w:rsidR="006D7181" w:rsidRPr="006D7181">
        <w:rPr>
          <w:rFonts w:ascii="Aptos" w:hAnsi="Aptos"/>
        </w:rPr>
        <w:t>(Khodadust et al., 2022)</w:t>
      </w:r>
      <w:r w:rsidR="006D7181">
        <w:rPr>
          <w:lang w:val="en-GB"/>
        </w:rPr>
        <w:fldChar w:fldCharType="end"/>
      </w:r>
      <w:r w:rsidR="006D7181">
        <w:t xml:space="preserve">. </w:t>
      </w:r>
      <w:r w:rsidRPr="00B6561C">
        <w:t xml:space="preserve">Sterk </w:t>
      </w:r>
      <w:proofErr w:type="spellStart"/>
      <w:r w:rsidRPr="00B6561C">
        <w:t>upgereguleerde</w:t>
      </w:r>
      <w:proofErr w:type="spellEnd"/>
      <w:r w:rsidRPr="00B6561C">
        <w:t xml:space="preserve"> </w:t>
      </w:r>
      <w:proofErr w:type="spellStart"/>
      <w:r w:rsidRPr="00B6561C">
        <w:t>chemokines</w:t>
      </w:r>
      <w:proofErr w:type="spellEnd"/>
      <w:r w:rsidRPr="00B6561C">
        <w:t xml:space="preserve"> CXCL en CCL trekken lymfocyten aan en veroorzaken zo systemische ontsteking.</w:t>
      </w:r>
      <w:r>
        <w:t xml:space="preserve"> </w:t>
      </w:r>
      <w:r w:rsidR="00312FFB">
        <w:rPr>
          <w:lang w:val="en-GB"/>
        </w:rPr>
        <w:fldChar w:fldCharType="begin"/>
      </w:r>
      <w:r w:rsidR="00312FFB" w:rsidRPr="00312FFB">
        <w:instrText xml:space="preserve"> ADDIN ZOTERO_ITEM CSL_CITATION {"citationID":"CWLJZ2vP","properties":{"formattedCitation":"(X. Chen et al., 2020)","plainCitation":"(X. Chen et al., 2020)","noteIndex":0},"citationItems":[{"id":523,"uris":["http://zotero.org/users/local/beyTtIxb/items/V5SUDNS3"],"itemData":{"id":523,"type":"article-journal","abstract":"The chemokine (C-X-C motif) ligand (CXCL) family plays an important role in inflammation. In order to understand the role of CXC chemokine family in carcinogenesis, this study explored a group of early gastric cancer (GC) patients, and assessed the level of CXC chemokine ligand (CXCL) in blood samples of patients representing systemic circulation and tumor microenvironment, detected the expression of CXC chemokine receptor (CXCR) in tumor tissues, and measured tumor infiltrating immune cell subsets. 69 patients with GC were included in a single center prospective study and were followed up for 6 years. The level of CXCL1-14 was determined by ELISA and the concentration gradient of chemokine was calculated. Western blot was used to detect the expression of CXCR1, CXCR2, CXCR3, and CXCR4 in tumor tissue. CXCL1-14 expression was inhibited by siRNA in HGC27 cells and then the migration ability of HGC27 cells was detected by cell scratch test. The results of this study showed that the chemokine concentrations of CXCL1, CXCL2, CXCL5, CXCL8, CXCL11, and CXCL13 in peripheral blood and tumor drainage blood of pat</w:instrText>
      </w:r>
      <w:r w:rsidR="00312FFB" w:rsidRPr="006D7181">
        <w:instrText xml:space="preserve">ients without recurrence after treatment were significantly lower than those before treatment. The concentrations of CXCL1, CXCL2, CXCL4, CXCL5, CXCL7, CXCL8, CXCL9, CXCL10, CXCL12, CXCL13, and CXCL14 in peripheral blood and tumor drainage blood were significantly higher than those in patients without recurrence. Patients with low expression of CXCR1 and CXCR3 had lower AFP (alpha fetoprotein), smaller tumor volume, and lower TNM tumor stage. Patients with lower expression of CXCR2 and CXCR4 had higher AFP (alpha fetoprotein) level, larger tumor volume, and higher TNM tumor stage. After down-regulation of CXCLs expression, the migration ability of most cell lines was significantly inhibited. This study suggests that CXCL chemokine family plays an important role in the pathogenesis of GC and can be used as a marker for the development of GC.","container-title":"International Journal of Clinical and Experimental Pathology","ISSN":"1936-2625","issue":"3","journalAbbreviation":"Int J Clin Exp Pathol","language":"eng","note":"PMID: 32269686\nPMCID: PMC7137023","page":"484-492","source":"PubMed","title":"The role of CXCL chemokine family in the development and progression of gastric cancer","volume":"13","author":[{"family":"Chen","given":"Xuyan"},{"family":"Chen","given":"Renpin"},{"family":"Jin","given":"Ruifang"},{"family":"Huang","given":"Zhiming"}],"issued":{"date-parts":[["2020"]]}}}],"schema":"https://github.com/citation-style-language/schema/raw/master/csl-citation.json"} </w:instrText>
      </w:r>
      <w:r w:rsidR="00312FFB">
        <w:rPr>
          <w:lang w:val="en-GB"/>
        </w:rPr>
        <w:fldChar w:fldCharType="separate"/>
      </w:r>
      <w:r w:rsidR="00312FFB" w:rsidRPr="006D7181">
        <w:rPr>
          <w:rFonts w:ascii="Aptos" w:hAnsi="Aptos"/>
        </w:rPr>
        <w:t>(X. Chen et al., 2020)</w:t>
      </w:r>
      <w:r w:rsidR="00312FFB">
        <w:rPr>
          <w:lang w:val="en-GB"/>
        </w:rPr>
        <w:fldChar w:fldCharType="end"/>
      </w:r>
      <w:r w:rsidR="006D7181" w:rsidRPr="006D7181">
        <w:t xml:space="preserve"> </w:t>
      </w:r>
      <w:r w:rsidR="006D7181">
        <w:rPr>
          <w:lang w:val="en-GB"/>
        </w:rPr>
        <w:fldChar w:fldCharType="begin"/>
      </w:r>
      <w:r w:rsidR="006D7181" w:rsidRPr="006D7181">
        <w:instrText xml:space="preserve"> ADDIN ZOTERO_ITEM CSL_CITATION {"citationID":"k1IrYfAC","properties":{"formattedCitation":"(Zhu et al., 2021)","plainCitation":"(Zhu et al., 2021)","noteIndex":0},"citationItems":[{"id":525,"uris":["http://zotero.org/users/local/beyTtIxb/items/V7IEI7IY"],"itemData":{"id":525,"type":"article-journal","abstract":"Monocyte chemoattractant protein-1, also called chemokine (C-C motif) ligand 2 (CCL2) or small inducible cytokine A2, is an inflammatory mediator capable of recruiting monocytes, memory T cells, and dendritic cells. CCL2 is a member of the CC chemokine superfamily, which binds to its receptor, C-C motif chemokine receptor-2 (CCR2), for the induction of chemotactic activity and an increase of calcium influx. It exerts multiple effects on a variety of cells, including monocytes, macrophages, osteoclasts, basophils, and endothelial cells, and is involved in a diverse range of diseases. This review discusses the molecular structure and role of CCL2 and CCR2 in skeletal biology and disease. Molecular structure analyses reveal that CCL2 shares a conserved C-C motif; however, it has only limited sequence homology with other CCL family members. Likewise, CCR2, as a member of the G-protein-coupled seven-transmembrane receptor superfamily, shares conserved cysteine residues, but exhibits very limited sequence homology with other CCR family members. In the skeletal system, the expression of CCL2 is regulated by a variety of factors, such as parathyroid hormone/parathyroid hormone-related peptide, interleukin 1b, tumor necrosis factor-</w:instrText>
      </w:r>
      <w:r w:rsidR="006D7181">
        <w:rPr>
          <w:lang w:val="en-GB"/>
        </w:rPr>
        <w:instrText>α</w:instrText>
      </w:r>
      <w:r w:rsidR="006D7181" w:rsidRPr="006D7181">
        <w:instrText xml:space="preserve"> and transforming growth factor-beta, RANKL, and mechanical forces. The interaction of CCL2 and CCR2 activates several signaling cascades, including PI3K/Akt/ERK/NF-</w:instrText>
      </w:r>
      <w:r w:rsidR="006D7181">
        <w:rPr>
          <w:lang w:val="en-GB"/>
        </w:rPr>
        <w:instrText>κ</w:instrText>
      </w:r>
      <w:r w:rsidR="006D7181" w:rsidRPr="006D7181">
        <w:instrText xml:space="preserve">B, PI3K/MAPKs, and JAK/STAT-1/STAT-3. Understanding the role of CCL2 and CCR2 will facilitate the development of novel therapies for skeletal disorders, including rheumatoid arthritis, osteolysis and other inflammatory diseases related to abnormal chemotaxis.","container-title":"Journal of Cellular Physiology","DOI":"10.1002/jcp.30375","ISSN":"1097-4652","issue":"10","journalAbbreviation":"J Cell Physiol","language":"eng","note":"PMID: 33782965","page":"7211-7222","source":"PubMed","title":"The molecular structure and role of CCL2 (MCP-1) and C-C chemokine receptor CCR2 in skeletal biology and diseases","volume":"236","author":[{"family":"Zhu","given":"Sipin"},{"family":"Liu","given":"Mei"},{"family":"Bennett","given":"Samuel"},{"family":"Wang","given":"Ziyi"},{"family":"Pfleger","given":"Kevin D. G."},{"family":"Xu","given":"Jiake"}],"issued":{"date-parts":[["2021",10]]}}}],"schema":"https://github.com/citation-style-language/schema/raw/master/csl-citation.json"} </w:instrText>
      </w:r>
      <w:r w:rsidR="006D7181">
        <w:rPr>
          <w:lang w:val="en-GB"/>
        </w:rPr>
        <w:fldChar w:fldCharType="separate"/>
      </w:r>
      <w:r w:rsidR="006D7181" w:rsidRPr="006D7181">
        <w:rPr>
          <w:rFonts w:ascii="Aptos" w:hAnsi="Aptos"/>
        </w:rPr>
        <w:t>(Zhu et al., 2021)</w:t>
      </w:r>
      <w:r w:rsidR="006D7181">
        <w:rPr>
          <w:lang w:val="en-GB"/>
        </w:rPr>
        <w:fldChar w:fldCharType="end"/>
      </w:r>
      <w:r w:rsidR="009E06A2" w:rsidRPr="007D6F0D">
        <w:t>.</w:t>
      </w:r>
      <w:r w:rsidR="007D6F0D" w:rsidRPr="007D6F0D">
        <w:t xml:space="preserve"> </w:t>
      </w:r>
    </w:p>
    <w:p w14:paraId="75EAE71B" w14:textId="77777777" w:rsidR="00422C0C" w:rsidRDefault="00B6561C" w:rsidP="00CE4770">
      <w:r w:rsidRPr="00B6561C">
        <w:t xml:space="preserve">Bij RA zijn pro-inflammatoire genen, cytokines en cellen verhoogd, wat chronische </w:t>
      </w:r>
      <w:proofErr w:type="spellStart"/>
      <w:r w:rsidRPr="00B6561C">
        <w:t>synoviumontsteking</w:t>
      </w:r>
      <w:proofErr w:type="spellEnd"/>
      <w:r w:rsidRPr="00B6561C">
        <w:t xml:space="preserve"> en gewrichts- en botafbraak veroorzaakt. </w:t>
      </w:r>
      <w:r w:rsidR="00E769A5">
        <w:t>Daarnaast</w:t>
      </w:r>
      <w:r w:rsidRPr="00B6561C">
        <w:t xml:space="preserve"> zijn genen die balans bewaren verlaagd. </w:t>
      </w:r>
      <w:r>
        <w:t>Hiermee kan geconcludeerd worden</w:t>
      </w:r>
      <w:r w:rsidRPr="00B6561C">
        <w:t xml:space="preserve"> dat genexpressie een belangrijke rol speelt in de pathogenese van RA</w:t>
      </w:r>
      <w:r w:rsidR="00E769A5">
        <w:t xml:space="preserve"> </w:t>
      </w:r>
      <w:r w:rsidR="00E769A5" w:rsidRPr="00E769A5">
        <w:t xml:space="preserve">en geven mogelijkheden voor </w:t>
      </w:r>
      <w:r w:rsidR="00E769A5">
        <w:t xml:space="preserve">gerichte </w:t>
      </w:r>
      <w:r w:rsidR="00E769A5" w:rsidRPr="00E769A5">
        <w:t>therapieën</w:t>
      </w:r>
      <w:r w:rsidR="00E769A5">
        <w:t>.</w:t>
      </w:r>
      <w:r w:rsidR="00422C0C">
        <w:t xml:space="preserve"> </w:t>
      </w:r>
    </w:p>
    <w:p w14:paraId="189BA8A8" w14:textId="556745BA" w:rsidR="00422C0C" w:rsidRDefault="00422C0C" w:rsidP="00CE4770">
      <w:r w:rsidRPr="00422C0C">
        <w:t xml:space="preserve">Vroege immuunreactiegenen bleken verhoogd. Verder onderzoek naar interacties tussen </w:t>
      </w:r>
      <w:proofErr w:type="spellStart"/>
      <w:r w:rsidRPr="00422C0C">
        <w:t>DC’s</w:t>
      </w:r>
      <w:proofErr w:type="spellEnd"/>
      <w:r w:rsidRPr="00422C0C">
        <w:t xml:space="preserve"> en </w:t>
      </w:r>
      <w:proofErr w:type="spellStart"/>
      <w:r w:rsidRPr="00422C0C">
        <w:t>zelfreactieve</w:t>
      </w:r>
      <w:proofErr w:type="spellEnd"/>
      <w:r w:rsidRPr="00422C0C">
        <w:t xml:space="preserve"> Th1-cellen kan bijdragen aan preventie en behandeling</w:t>
      </w:r>
    </w:p>
    <w:p w14:paraId="4B16BFD2" w14:textId="77777777" w:rsidR="006221FE" w:rsidRDefault="006221FE" w:rsidP="00CE4770"/>
    <w:p w14:paraId="61D05C29" w14:textId="77777777" w:rsidR="00D345E4" w:rsidRDefault="00D345E4" w:rsidP="00CE4770"/>
    <w:p w14:paraId="0C91630F" w14:textId="77777777" w:rsidR="00D345E4" w:rsidRDefault="00D345E4" w:rsidP="00CE4770"/>
    <w:p w14:paraId="3B09C0C7" w14:textId="77777777" w:rsidR="00D345E4" w:rsidRDefault="00D345E4" w:rsidP="00CE4770"/>
    <w:p w14:paraId="1909EDFD" w14:textId="77777777" w:rsidR="00D345E4" w:rsidRDefault="00D345E4" w:rsidP="00CE4770"/>
    <w:p w14:paraId="509C27FA" w14:textId="77777777" w:rsidR="00D345E4" w:rsidRDefault="00D345E4" w:rsidP="00CE4770"/>
    <w:p w14:paraId="2125CEE5" w14:textId="77777777" w:rsidR="00D345E4" w:rsidRDefault="00D345E4" w:rsidP="00CE4770"/>
    <w:p w14:paraId="1B913604" w14:textId="77777777" w:rsidR="00D345E4" w:rsidRDefault="00D345E4" w:rsidP="00CE4770"/>
    <w:p w14:paraId="0BF500B9" w14:textId="77777777" w:rsidR="00D345E4" w:rsidRDefault="00D345E4" w:rsidP="00CE4770"/>
    <w:p w14:paraId="3E047E32" w14:textId="77777777" w:rsidR="00D345E4" w:rsidRDefault="00D345E4" w:rsidP="00CE4770"/>
    <w:p w14:paraId="32CA3CDF" w14:textId="265251AA" w:rsidR="00D345E4" w:rsidRDefault="00D345E4" w:rsidP="00D345E4">
      <w:r w:rsidRPr="00B6561C">
        <w:t>RA is een auto-immuunziekte waarbij het immuunsysteem verstoord is, zoals uit de resultaten bleek.</w:t>
      </w:r>
      <w:r>
        <w:t xml:space="preserve"> De </w:t>
      </w:r>
      <w:proofErr w:type="spellStart"/>
      <w:r>
        <w:t>DEseq</w:t>
      </w:r>
      <w:proofErr w:type="spellEnd"/>
      <w:r>
        <w:t xml:space="preserve"> analyse toonde verhoogde </w:t>
      </w:r>
      <w:r w:rsidRPr="00E769A5">
        <w:t xml:space="preserve">genen SRGN en BCL2A1, genen met pro-inflammatoire eigenschappen </w:t>
      </w:r>
      <w:r w:rsidRPr="00E769A5">
        <w:rPr>
          <w:lang w:val="en-GB"/>
        </w:rPr>
        <w:fldChar w:fldCharType="begin"/>
      </w:r>
      <w:r w:rsidRPr="00E769A5">
        <w:instrText xml:space="preserve"> ADDIN ZOTERO_ITEM CSL_CITATION {"citationID":"xtcl69WP","properties":{"formattedCitation":"(Y. Chen et al., 2020)","plainCitation":"(Y. Chen et al., 2020)","noteIndex":0},"citationItems":[{"id":517,"uris":["http://zotero.org/users/local/beyTtIxb/items/XXYPGKY7"],"itemData":{"id":517,"type":"article-journal","abstract":"Ulcerative colitis (UC) and rheumatoid arthritis (RA) are immune-mediated in</w:instrText>
      </w:r>
      <w:r w:rsidRPr="00E769A5">
        <w:rPr>
          <w:lang w:val="en-GB"/>
        </w:rPr>
        <w:instrText>ﬂ</w:instrText>
      </w:r>
      <w:r w:rsidRPr="00E769A5">
        <w:instrText>ammatory diseases (IMIDs) with similar symptoms and common genomics. However, the relationship between UC and RA has not been investigated thoroughly. Therefore, this study aimed to establish the differentially expressed genes (DEGs) and potential therapeutic targets in UC and RA. Three microarray datasets (GSE38713, GSE1919, and GSE12251) were selected from the Gene Expression Omnibus (GEO) database for analysis. We used R software to identify the DEGs and performed enrichment analyses. Search Tool for the Retrieval of Interacting Genes/Proteins (STRING) and Cytoscape software were used to construct the protein-protein interaction (PPI) network and identify the hub genes. A regulatory network based on the constructed PPI was generated using StarBase and PROMO databases. We identi</w:instrText>
      </w:r>
      <w:r w:rsidRPr="00E769A5">
        <w:rPr>
          <w:lang w:val="en-GB"/>
        </w:rPr>
        <w:instrText>ﬁ</w:instrText>
      </w:r>
      <w:r w:rsidRPr="00E769A5">
        <w:instrText>ed a total of 1542 and 261 DEGs in UC and RA. There were 169 common DEGs identi</w:instrText>
      </w:r>
      <w:r w:rsidRPr="00E769A5">
        <w:rPr>
          <w:lang w:val="en-GB"/>
        </w:rPr>
        <w:instrText>ﬁ</w:instrText>
      </w:r>
      <w:r w:rsidRPr="00E769A5">
        <w:instrText>ed in both UC and RA, including 63 upregulated genes (DEGs1) and nine downregulated genes (DEGs2). The Gene Ontology (GO) and Kyoto Encyclopedia of Genes and Genomes (KEGG) pathway analyses of DEGs1 and DEGs2 in the PPI network revealed that the genes enriched were involved in immunity. A total of 45 hub genes were selected based on high scores of correlation; three hub genes (SRGN, PLEK, and FCGR3B) were found to be upregulated in UC and RA, and downregulated in UC patients with response to in</w:instrText>
      </w:r>
      <w:r w:rsidRPr="00E769A5">
        <w:rPr>
          <w:lang w:val="en-GB"/>
        </w:rPr>
        <w:instrText>ﬂ</w:instrText>
      </w:r>
      <w:r w:rsidRPr="00E769A5">
        <w:instrText>iximab treatment. The identi</w:instrText>
      </w:r>
      <w:r w:rsidRPr="00E769A5">
        <w:rPr>
          <w:lang w:val="en-GB"/>
        </w:rPr>
        <w:instrText>ﬁ</w:instrText>
      </w:r>
      <w:r w:rsidRPr="00E769A5">
        <w:instrText xml:space="preserve">cation of novel DEGs and hub genes in the current study contributes to a novel perception for latent functional mechanisms and presents potential prognostic indicators and therapeutic targets in UC and RA.","container-title":"Frontiers in Genetics","DOI":"10.3389/fgene.2020.572194","ISSN":"1664-8021","journalAbbreviation":"Front. Genet.","language":"en","page":"572194","source":"DOI.org (Crossref)","title":"Identification of Common Differentially Expressed Genes and Potential Therapeutic Targets in Ulcerative Colitis and Rheumatoid Arthritis","volume":"11","author":[{"family":"Chen","given":"Yueying"},{"family":"Li","given":"Hanyang"},{"family":"Lai","given":"Lijie"},{"family":"Feng","given":"Qi"},{"family":"Shen","given":"Jun"}],"issued":{"date-parts":[["2020",11,11]]}}}],"schema":"https://github.com/citation-style-language/schema/raw/master/csl-citation.json"} </w:instrText>
      </w:r>
      <w:r w:rsidRPr="00E769A5">
        <w:rPr>
          <w:lang w:val="en-GB"/>
        </w:rPr>
        <w:fldChar w:fldCharType="separate"/>
      </w:r>
      <w:r w:rsidRPr="00E769A5">
        <w:rPr>
          <w:rFonts w:ascii="Aptos" w:hAnsi="Aptos"/>
        </w:rPr>
        <w:t>(Y. Chen et al., 2020)</w:t>
      </w:r>
      <w:r w:rsidRPr="00E769A5">
        <w:rPr>
          <w:lang w:val="en-GB"/>
        </w:rPr>
        <w:fldChar w:fldCharType="end"/>
      </w:r>
      <w:r w:rsidRPr="00E769A5">
        <w:t xml:space="preserve"> </w:t>
      </w:r>
      <w:r w:rsidRPr="00E769A5">
        <w:fldChar w:fldCharType="begin"/>
      </w:r>
      <w:r w:rsidRPr="00E769A5">
        <w:instrText xml:space="preserve"> ADDIN ZOTERO_ITEM CSL_CITATION {"citationID":"kpEcxkiF","properties":{"formattedCitation":"(Gao et al., 2023)","plainCitation":"(Gao et al., 2023)","noteIndex":0},"citationItems":[{"id":518,"uris":["http://zotero.org/users/local/beyTtIxb/items/6XSSDEJL"],"itemData":{"id":518,"type":"article-journal","abstract":"B-cell lymphoma 2-related protein A1 (BCL2A1) is a member of the BCL-2 family. Previous studies have shown that BCL2A1 is closely related to the tumorigenesis and resistance to chemotherapy of multiple solid tumors, such as breast cancer. However, the expression pattern and potential biological function of BCL2A1 in glioma remain unknown. For the first time, we found that the expression of BCL2A1 was higher in human glioma tissues than in normal brain tissues (NBTs) in both public datasets and an in-house cohort. High BCL2A1 expression was associated with advanced WHO grade, IDH 1/2 wild type and the mesenchymal (ME) subtype, and its overexpression in glioma predicted resistance to temozolomide (TMZ) chemotherapy and unfavorable prognosis. In addition, Gene set enrichment analysis (GSEA), Gene Ontology (GO) and Kyoto Encyclopedia of Genes and Genomes (KEGG) analysis indicated that BCL2A1 was significantly correlated with the immune response and immune-related pathways, and BCL2A1 expression was positively correlated with microenvironmental parameters (immune, stromal, and ESTIMATE scores) and macrophage infiltration. Interestingly, bioinformatic prediction and immunohistochemical/immunofluorescence staining analysis revealed that BCL2A1 expression was obviously associated with the tumor-associated macrophages (TAMs) markers CD68 and CCL2. Notably, knockdown of BCL2A1 significantly inhibited cell proliferation of U87 and U251 in vitro, induced smaller tumor size and prolonged survival time of mice in vivo., Co-culture experiments of macrophages and GBM cells showed that BCL2A1 knockdown inhibited macrophage migration. Meanwhile, knockdown of BCL2A1 was associated with low expression of CD68 and CCL2 in intracranial xenograft model. This may suggest that BCL2A1 promotes the progression of glioma and influences the prognosis of patients by participating in TAMs infiltration. In conclusion, these findings suggest that BCL2A1 could serve as a promising prognostic indicator and immunotherapy target in gliomas.","container-title":"Aging (Albany NY)","DOI":"10.18632/aging.205149","ISSN":"1945-4589","issue":"20","journalAbbreviation":"Aging (Albany NY)","note":"PMID: 37889551\nPMCID: PMC10637801","page":"11611-11638","source":"PubMed Central","title":"BCL2A1 is associated with tumor-associated macrophages and unfavorable prognosis in human gliomas","volume":"15","author":[{"family":"Gao","given":"Lun"},{"family":"Ye","given":"Zhang"},{"family":"Peng","given":"Shu"},{"family":"Lei","given":"Pan"},{"family":"Song","given":"Ping"},{"family":"Li","given":"Zhiyang"},{"family":"Zhou","given":"Long"},{"family":"Hua","given":"Qiuwei"},{"family":"Cheng","given":"Li"},{"family":"Wei","given":"Hangyu"},{"family":"Liu","given":"Junhui"},{"family":"Cai","given":"Qiang"}],"issued":{"date-parts":[["2023",10,25]]}}}],"schema":"https://github.com/citation-style-language/schema/raw/master/csl-citation.json"} </w:instrText>
      </w:r>
      <w:r w:rsidRPr="00E769A5">
        <w:fldChar w:fldCharType="separate"/>
      </w:r>
      <w:r w:rsidRPr="00E769A5">
        <w:rPr>
          <w:rFonts w:ascii="Aptos" w:hAnsi="Aptos"/>
        </w:rPr>
        <w:t>(Gao et al., 2023)</w:t>
      </w:r>
      <w:r w:rsidRPr="00E769A5">
        <w:fldChar w:fldCharType="end"/>
      </w:r>
      <w:r w:rsidRPr="00E769A5">
        <w:t xml:space="preserve">. </w:t>
      </w:r>
      <w:proofErr w:type="spellStart"/>
      <w:r w:rsidRPr="00E769A5">
        <w:t>Downgereguleerde</w:t>
      </w:r>
      <w:proofErr w:type="spellEnd"/>
      <w:r w:rsidRPr="00E769A5">
        <w:t xml:space="preserve"> genen </w:t>
      </w:r>
      <w:r w:rsidRPr="00E769A5">
        <w:lastRenderedPageBreak/>
        <w:t>waren ANKRD30BL, MT-ND6, SLC9A3R2, ZNF598,</w:t>
      </w:r>
      <w:r>
        <w:rPr>
          <w:b/>
          <w:bCs/>
        </w:rPr>
        <w:t xml:space="preserve"> </w:t>
      </w:r>
      <w:r w:rsidRPr="00D345E4">
        <w:t>genen</w:t>
      </w:r>
      <w:r>
        <w:t xml:space="preserve"> die zorgen voor balans </w:t>
      </w:r>
      <w:r w:rsidRPr="006204FD">
        <w:t xml:space="preserve">(National </w:t>
      </w:r>
      <w:r w:rsidRPr="001F05E8">
        <w:t xml:space="preserve">Center </w:t>
      </w:r>
      <w:proofErr w:type="spellStart"/>
      <w:r w:rsidRPr="001F05E8">
        <w:t>for</w:t>
      </w:r>
      <w:proofErr w:type="spellEnd"/>
      <w:r w:rsidRPr="001F05E8">
        <w:t xml:space="preserve"> </w:t>
      </w:r>
      <w:proofErr w:type="spellStart"/>
      <w:r w:rsidRPr="001F05E8">
        <w:t>Biotechnology</w:t>
      </w:r>
      <w:proofErr w:type="spellEnd"/>
      <w:r w:rsidRPr="001F05E8">
        <w:t xml:space="preserve"> Information, 2024)</w:t>
      </w:r>
      <w:r>
        <w:t xml:space="preserve"> </w:t>
      </w:r>
      <w:r>
        <w:fldChar w:fldCharType="begin"/>
      </w:r>
      <w:r>
        <w:instrText xml:space="preserve"> ADDIN ZOTERO_ITEM CSL_CITATION {"citationID":"8cfRNL6J","properties":{"formattedCitation":"(Arntz et al., 2024)","plainCitation":"(Arntz et al., 2024)","noteIndex":0},"citationItems":[{"id":515,"uris":["http://zotero.org/users/local/beyTtIxb/items/44J8JCG7"],"itemData":{"id":515,"type":"article-journal","abstract":"Background: Rheumatoid arthritis (RA) is an autoimmune disease characterized by chronic synovial inflammation and cartilage/bone damage. Intercellular messengers such as IL-1 and TNF play a crucial role in the pathophysiology of RA but have limited diagnostic and prognostic values. Therefore, we assessed whether the protein content of the recently discovered extracellular vesicles (EVs), which have gained attention in the pathogenesis of RA, correlates with disease activity parameters in RA patients.\nMethods: We identified and quantified proteins in plasma-derived EVs (pEVs), isolated by size exclusion chromatography from 17 RA patients by mass spectrophotometry (MS). Quantified protein levels were correlated with laboratory and clinical parameters and the patient’s own global assessment of their disease activity (PGA-VAS). In a second MS run, the pEV proteins of nine other RA patients were quantified and compared to those from nine healthy controls (HC).\nResults: No differences were observed in the concentration, size, and protein content of pEVs from RA patients. Proteomics revealed &gt;95% overlapping proteins in RA-pEVs, compared to HC-pEVs (data are available via ProteomeXchange with identifier PXD046058). Remarkably, in both runs, the level </w:instrText>
      </w:r>
      <w:r w:rsidRPr="00F74916">
        <w:instrText xml:space="preserve">of far more RA-pEV proteins correlated positively to PGA-VAS than to either clinical or laboratory parameters. Interestingly, all observed PGAVAS positively correlated RA-pEV proteins were associated with the actincytoskeleton linker proteins, ezrin, and moesin.\nConclusion: Our observation suggests that PGA-VAS (loss of vitality) may have a different underlying pathological mechanism in RA, possibly related to enhanced muscle actin-cytoskeleton activity. Furthermore, our study contributes to the growing awareness and evidence that pEVs contain valuable biomarkers for diseases, with added value for RA patients.","container-title":"Frontiers in Medicine","DOI":"10.3389/fmed.2023.1247778","ISSN":"2296-858X","journalAbbreviation":"Front. Med.","language":"en","page":"1247778","source":"DOI.org (Crossref)","title":"Profiling of plasma extracellular vesicles identifies proteins that strongly associate with patient’s global assessment of disease activity in rheumatoid arthritis","volume":"10","author":[{"family":"Arntz","given":"Onno J."},{"family":"Thurlings","given":"Rogier M."},{"family":"Blaney Davidson","given":"Esmeralda N."},{"family":"Jansen","given":"Pascal W. T. C."},{"family":"Vermeulen","given":"Michiel"},{"family":"Koenders","given":"Marije I."},{"family":"Van Der Kraan","given":"Peter M."},{"family":"Van De Loo","given":"Fons A. J."}],"issued":{"date-parts":[["2024",1,11]]}}}],"schema":"https://github.com/citation-style-language/schema/raw/master/csl-citation.json"} </w:instrText>
      </w:r>
      <w:r>
        <w:fldChar w:fldCharType="separate"/>
      </w:r>
      <w:r w:rsidRPr="00F74916">
        <w:rPr>
          <w:rFonts w:ascii="Aptos" w:hAnsi="Aptos"/>
        </w:rPr>
        <w:t>(Arntz et al., 2024)</w:t>
      </w:r>
      <w:r>
        <w:fldChar w:fldCharType="end"/>
      </w:r>
      <w:r>
        <w:t xml:space="preserve"> </w:t>
      </w:r>
      <w:r>
        <w:fldChar w:fldCharType="begin"/>
      </w:r>
      <w:r>
        <w:instrText xml:space="preserve"> ADDIN ZOTERO_ITEM CSL_CITATION {"citationID":"q3dLK769","properties":{"formattedCitation":"(Oikawa et al., 2023)","plainCitation":"(Oikawa et al., 2023)","noteIndex":0},"citationItems":[{"id":529,"uris":["http://zotero.org/users/local/beyTtIxb/items/5H9MRHUP"],"itemData":{"id":529,"type":"article-journal","abstract":"Protein ubiquitination, which is catalyzed by ubiquitin-activating enzymes, ubiquitinconjugating enzymes, and ubiquitin ligases, is a crucial post-translational modiﬁcation to regulate numerous cellular functions in a spatio–temporal-speciﬁc manner. The human genome encodes ~100 deubiquitinating enzymes (DUBs), which antagonistically regulate the ubiquitin system. OTUD1, an ovarian tumor protease (OTU) family DUB, has an N-terminal-disordered alanine-, proline-, glycine-rich region (APGR), a catalytic OTU domain, and a ubiquitin-interacting motif (UIM). OTUD1 preferentially hydrolyzes lysine-63-linked ubiquitin chains in vitro; however, recent studies indicate that OTUD1 cleaves various ubiquitin linkages, and is involved in the regulation of multiple cellular functions. Thus, OTUD1 predominantly functions as a tumor suppressor by targeting p53, SMAD7, PTEN, AKT, IREB2, YAP, MCL1, and AIF. Furthermore, OTUD1 regulates antiviral signaling, innate and acquired immune responses, and cell death pathways. Similar to Nrf2, OTUD1 contains a KEAP1-binding ETGE motif in its APGR and regulates the reactive oxygen species (ROS)-mediated oxidative stress response and cell death. Importantly, in addition to its association with various cancers, including multiple myeloma, OTUD1 is involved in acute graft-versus-host disease and autoimmune diseases such as systemic lupus erythematosus, rheumatoid arthritis, and ulcerative colitis. Thus, OTUD1 is an important DUB as a therapeutic target for a variety of diseases.","container-title":"Antioxidants","DOI":"10.3390/antiox12020350","ISSN":"2076-3921","issue":"2","journalAbbreviation":"Antioxidants","language":"en","license":"https://creativecommons.org/licenses/by/4.0/","page":"350","source":"DOI.org (Crossref)","title":"Pleiotropic Roles of a KEAP1-Associated Deubiquitinase, OTUD1","volume":"12","author":[{"family":"Oikawa","given":"Daisuke"},{"family":"Shimizu","given":"Kouhei"},{"family":"Tokunaga","given":"Fuminori"}],"issued":{"date-parts":[["2023",2,1]]}}}],"schema":"https://github.com/citation-style-language/schema/raw/master/csl-citation.json"} </w:instrText>
      </w:r>
      <w:r>
        <w:fldChar w:fldCharType="separate"/>
      </w:r>
      <w:r w:rsidRPr="009E06A2">
        <w:rPr>
          <w:rFonts w:ascii="Aptos" w:hAnsi="Aptos"/>
        </w:rPr>
        <w:t>(Oikawa et al., 2023)</w:t>
      </w:r>
      <w:r>
        <w:fldChar w:fldCharType="end"/>
      </w:r>
      <w:r>
        <w:t xml:space="preserve">. </w:t>
      </w:r>
      <w:r w:rsidRPr="00B6561C">
        <w:t xml:space="preserve">In het synoviale weefsel </w:t>
      </w:r>
      <w:r>
        <w:t>waren</w:t>
      </w:r>
      <w:r w:rsidRPr="00B6561C">
        <w:t xml:space="preserve"> </w:t>
      </w:r>
      <w:proofErr w:type="spellStart"/>
      <w:r w:rsidRPr="00B6561C">
        <w:t>DC’s</w:t>
      </w:r>
      <w:proofErr w:type="spellEnd"/>
      <w:r w:rsidRPr="00B6561C">
        <w:t xml:space="preserve"> met MHC klasse 2 verhoogd, wat leidt tot presentatie van lichaamseigen antigenen aan </w:t>
      </w:r>
      <w:proofErr w:type="spellStart"/>
      <w:r w:rsidRPr="00B6561C">
        <w:t>zelfreactieve</w:t>
      </w:r>
      <w:proofErr w:type="spellEnd"/>
      <w:r w:rsidRPr="00B6561C">
        <w:t xml:space="preserve"> Th1-cellen</w:t>
      </w:r>
      <w:r>
        <w:rPr>
          <w:lang w:val="en-GB"/>
        </w:rPr>
        <w:fldChar w:fldCharType="begin"/>
      </w:r>
      <w:r w:rsidRPr="00240B48">
        <w:instrText xml:space="preserve"> ADDIN ZOTERO_ITEM CSL_CITATION {"citationID":"6qYnejoL","properties":{"formattedCitation":"(Wehr et al., 2019)","plainCitation":"(Wehr et al., 2019)","noteIndex":0},"citationItems":[{"id":503,"uris":["http://zotero.org/users/local/beyTtIxb/items/IFFDLWNK"],"itemData":{"id":503,"type":"article-journal","abstract":"Dendritic cells (DCs) are the key professional antigen-presenting cells which bridge innate and adaptive immune responses, inducing the priming and differentiation of naive to effector CD4+ T cells, the cross-priming of CD8+ T cells and the promotion of B cell antibody responses. DCs also play a critical role in the maintenance of immune homeostasis and tolerance. DC–T cell interactions underpin the generation of an autoimmune response in rheumatoid arthritis (RA). Here we describe the function of DCs and review evidence for DC and T cell involvement in RA pathogenesis, in particular through the presentation of self-peptide by DCs that triggers differentiation and activation of autoreactive T cells. Finally, we discuss the emerging field of targeting the DC–T cell interaction for antigen-specific immunotherapy of RA.","container-title":"Clinical and Experimental Immunology","DOI":"10.1111/cei.13256","ISSN":"1365-2249, 0009-9104","issue":"1","language":"en","license":"https://academic.oup.com/journals/pages/open_access/funder_policies/chorus/standard_publication_model","page":"12-27","source":"DOI.org (Crossref)","title":"Dendritic cells, T cells and their interaction in rheumatoid arthritis","volume":"196","author":[{"family":"Wehr","given":"P"},{"family":"Purvis","given":"H"},{"family":"Law","given":"S-C"},{"family":"Thomas","given":"R"}],"issued":{"date-parts":[["2019",3,18]]}}}],"schema":"https://github.com/citation-style-language/schema/raw/master/csl-citation.json"} </w:instrText>
      </w:r>
      <w:r>
        <w:rPr>
          <w:lang w:val="en-GB"/>
        </w:rPr>
        <w:fldChar w:fldCharType="separate"/>
      </w:r>
      <w:r>
        <w:rPr>
          <w:lang w:val="en-GB"/>
        </w:rPr>
        <w:fldChar w:fldCharType="end"/>
      </w:r>
      <w:r w:rsidRPr="00261996">
        <w:t xml:space="preserve">. </w:t>
      </w:r>
      <w:r w:rsidRPr="00B6561C">
        <w:t xml:space="preserve">Deze stimuleren pro-inflammatoire cytokines (zoals IL-1β, IL-6) die </w:t>
      </w:r>
      <w:proofErr w:type="spellStart"/>
      <w:r w:rsidRPr="00B6561C">
        <w:t>synoviumontsteking</w:t>
      </w:r>
      <w:proofErr w:type="spellEnd"/>
      <w:r w:rsidRPr="00B6561C">
        <w:t xml:space="preserve"> veroorzaken</w:t>
      </w:r>
      <w:r>
        <w:t xml:space="preserve">. </w:t>
      </w:r>
      <w:r w:rsidRPr="00B6561C">
        <w:t>Overactieve synoviale fibroblasten activeren osteoclasten, wat botafbraak bevordert</w:t>
      </w:r>
      <w:r w:rsidRPr="006204FD">
        <w:t>.</w:t>
      </w:r>
      <w:r>
        <w:t xml:space="preserve"> </w:t>
      </w:r>
      <w:r w:rsidRPr="00B6561C">
        <w:t xml:space="preserve">Angiogenese zorgt voor aanvoer van </w:t>
      </w:r>
      <w:proofErr w:type="spellStart"/>
      <w:r w:rsidRPr="00B6561C">
        <w:t>zelfreactieve</w:t>
      </w:r>
      <w:proofErr w:type="spellEnd"/>
      <w:r w:rsidRPr="00B6561C">
        <w:t xml:space="preserve"> cellen naar het </w:t>
      </w:r>
      <w:proofErr w:type="spellStart"/>
      <w:r w:rsidRPr="00B6561C">
        <w:t>synovium</w:t>
      </w:r>
      <w:proofErr w:type="spellEnd"/>
      <w:r>
        <w:t xml:space="preserve">. </w:t>
      </w:r>
      <w:r w:rsidRPr="00B6561C">
        <w:t xml:space="preserve">Sterk </w:t>
      </w:r>
      <w:proofErr w:type="spellStart"/>
      <w:r w:rsidRPr="00B6561C">
        <w:t>upgereguleerde</w:t>
      </w:r>
      <w:proofErr w:type="spellEnd"/>
      <w:r w:rsidRPr="00B6561C">
        <w:t xml:space="preserve"> </w:t>
      </w:r>
      <w:proofErr w:type="spellStart"/>
      <w:r w:rsidRPr="00B6561C">
        <w:t>chemokines</w:t>
      </w:r>
      <w:proofErr w:type="spellEnd"/>
      <w:r w:rsidRPr="00B6561C">
        <w:t xml:space="preserve"> CXCL en CCL trekken lymfocyten aan en veroorzaken zo systemische ontsteking.</w:t>
      </w:r>
      <w:r>
        <w:t xml:space="preserve"> </w:t>
      </w:r>
    </w:p>
    <w:p w14:paraId="5A151A64" w14:textId="77777777" w:rsidR="00D345E4" w:rsidRDefault="00D345E4" w:rsidP="00D345E4">
      <w:r w:rsidRPr="00B6561C">
        <w:t xml:space="preserve">Bij RA zijn pro-inflammatoire genen, cytokines en cellen verhoogd, wat chronische </w:t>
      </w:r>
      <w:proofErr w:type="spellStart"/>
      <w:r w:rsidRPr="00B6561C">
        <w:t>synoviumontsteking</w:t>
      </w:r>
      <w:proofErr w:type="spellEnd"/>
      <w:r w:rsidRPr="00B6561C">
        <w:t xml:space="preserve"> en gewrichts- en botafbraak veroorzaakt. </w:t>
      </w:r>
      <w:r>
        <w:t>Daarnaast</w:t>
      </w:r>
      <w:r w:rsidRPr="00B6561C">
        <w:t xml:space="preserve"> zijn genen die balans bewaren verlaagd. </w:t>
      </w:r>
      <w:r>
        <w:t>Hiermee kan geconcludeerd worden</w:t>
      </w:r>
      <w:r w:rsidRPr="00B6561C">
        <w:t xml:space="preserve"> dat genexpressie een belangrijke rol speelt in de pathogenese van RA</w:t>
      </w:r>
      <w:r>
        <w:t xml:space="preserve"> </w:t>
      </w:r>
      <w:r w:rsidRPr="00E769A5">
        <w:t xml:space="preserve">en geven mogelijkheden voor </w:t>
      </w:r>
      <w:r>
        <w:t xml:space="preserve">gerichte </w:t>
      </w:r>
      <w:r w:rsidRPr="00E769A5">
        <w:t>therapieën</w:t>
      </w:r>
      <w:r>
        <w:t xml:space="preserve">. </w:t>
      </w:r>
    </w:p>
    <w:p w14:paraId="76A24EC2" w14:textId="77777777" w:rsidR="00D345E4" w:rsidRDefault="00D345E4" w:rsidP="00D345E4">
      <w:r w:rsidRPr="00422C0C">
        <w:t xml:space="preserve">Vroege immuunreactiegenen bleken verhoogd. Verder onderzoek naar interacties tussen </w:t>
      </w:r>
      <w:proofErr w:type="spellStart"/>
      <w:r w:rsidRPr="00422C0C">
        <w:t>DC’s</w:t>
      </w:r>
      <w:proofErr w:type="spellEnd"/>
      <w:r w:rsidRPr="00422C0C">
        <w:t xml:space="preserve"> en </w:t>
      </w:r>
      <w:proofErr w:type="spellStart"/>
      <w:r w:rsidRPr="00422C0C">
        <w:t>zelfreactieve</w:t>
      </w:r>
      <w:proofErr w:type="spellEnd"/>
      <w:r w:rsidRPr="00422C0C">
        <w:t xml:space="preserve"> Th1-cellen kan bijdragen aan preventie en behandeling</w:t>
      </w:r>
    </w:p>
    <w:p w14:paraId="74D2E7D7" w14:textId="77777777" w:rsidR="00D345E4" w:rsidRDefault="00D345E4" w:rsidP="00D345E4"/>
    <w:p w14:paraId="0342BFF1" w14:textId="77777777" w:rsidR="00D345E4" w:rsidRDefault="00D345E4" w:rsidP="00CE4770"/>
    <w:p w14:paraId="4FA69F9E" w14:textId="77777777" w:rsidR="006221FE" w:rsidRDefault="006221FE" w:rsidP="00CE4770"/>
    <w:p w14:paraId="1072C528" w14:textId="77777777" w:rsidR="006221FE" w:rsidRDefault="006221FE" w:rsidP="00CE4770"/>
    <w:p w14:paraId="581F11E8" w14:textId="77777777" w:rsidR="006221FE" w:rsidRDefault="006221FE" w:rsidP="00CE4770"/>
    <w:p w14:paraId="5C44901D" w14:textId="77777777" w:rsidR="006221FE" w:rsidRDefault="006221FE" w:rsidP="00CE4770"/>
    <w:p w14:paraId="7ECE8454" w14:textId="77777777" w:rsidR="006221FE" w:rsidRDefault="006221FE" w:rsidP="00CE4770"/>
    <w:p w14:paraId="47C312A8" w14:textId="77777777" w:rsidR="00725DD8" w:rsidRDefault="00725DD8" w:rsidP="00CE4770"/>
    <w:p w14:paraId="0CDA4DA6" w14:textId="77777777" w:rsidR="006D7181" w:rsidRDefault="006D7181" w:rsidP="00CE4770"/>
    <w:p w14:paraId="3ED1BE20" w14:textId="77777777" w:rsidR="006D7181" w:rsidRDefault="006D7181" w:rsidP="00CE4770"/>
    <w:p w14:paraId="7B8F9632" w14:textId="77777777" w:rsidR="006D7181" w:rsidRDefault="006D7181" w:rsidP="00CE4770"/>
    <w:p w14:paraId="68FE1373" w14:textId="77777777" w:rsidR="006D7181" w:rsidRDefault="006D7181" w:rsidP="00CE4770"/>
    <w:p w14:paraId="78000135" w14:textId="77777777" w:rsidR="00D345E4" w:rsidRDefault="00D345E4" w:rsidP="00CE4770"/>
    <w:p w14:paraId="066E628C" w14:textId="77777777" w:rsidR="00D345E4" w:rsidRDefault="00D345E4" w:rsidP="00CE4770"/>
    <w:p w14:paraId="1DEFCB46" w14:textId="77777777" w:rsidR="00D345E4" w:rsidRDefault="00D345E4" w:rsidP="00CE4770"/>
    <w:p w14:paraId="62600EC5" w14:textId="77777777" w:rsidR="00D345E4" w:rsidRDefault="00D345E4" w:rsidP="00CE4770"/>
    <w:p w14:paraId="62161201" w14:textId="77777777" w:rsidR="00D345E4" w:rsidRDefault="00D345E4" w:rsidP="00CE4770"/>
    <w:p w14:paraId="1EE491DB" w14:textId="77777777" w:rsidR="006D7181" w:rsidRPr="006D7181" w:rsidRDefault="006D7181" w:rsidP="00CE4770"/>
    <w:p w14:paraId="4A9A1DBF" w14:textId="0F0E7143" w:rsidR="00261996" w:rsidRPr="006D7181" w:rsidRDefault="00261996" w:rsidP="00261996"/>
    <w:p w14:paraId="6662BE2F" w14:textId="77777777" w:rsidR="00181EFD" w:rsidRPr="003A6CD4" w:rsidRDefault="00181EFD" w:rsidP="00181EFD">
      <w:pPr>
        <w:rPr>
          <w:lang w:val="en-US"/>
        </w:rPr>
      </w:pPr>
      <w:r w:rsidRPr="003A6CD4">
        <w:rPr>
          <w:lang w:val="en-US"/>
        </w:rPr>
        <w:t xml:space="preserve">National Center for Biotechnology Information. (2024). </w:t>
      </w:r>
      <w:r w:rsidRPr="003A6CD4">
        <w:rPr>
          <w:i/>
          <w:iCs/>
          <w:lang w:val="en-US"/>
        </w:rPr>
        <w:t>MT-ND6 mitochondrially encoded NADH dehydrogenase 6</w:t>
      </w:r>
      <w:r w:rsidRPr="003A6CD4">
        <w:rPr>
          <w:lang w:val="en-US"/>
        </w:rPr>
        <w:t xml:space="preserve">. Gene ID: 4541. National Library of Medicine. Retrieved June 10, 2025, from </w:t>
      </w:r>
      <w:hyperlink r:id="rId5" w:tgtFrame="_new" w:history="1">
        <w:r w:rsidRPr="003A6CD4">
          <w:rPr>
            <w:rStyle w:val="Hyperlink"/>
            <w:lang w:val="en-US"/>
          </w:rPr>
          <w:t>https://www.ncbi.nlm.nih.gov/gtr/genes/4541/</w:t>
        </w:r>
      </w:hyperlink>
    </w:p>
    <w:p w14:paraId="6C5585A3" w14:textId="157403BA" w:rsidR="00F33944" w:rsidRPr="003A6CD4" w:rsidRDefault="00F33944">
      <w:pPr>
        <w:rPr>
          <w:lang w:val="en-US"/>
        </w:rPr>
      </w:pPr>
    </w:p>
    <w:p w14:paraId="010CC0FE" w14:textId="77777777" w:rsidR="00240B48" w:rsidRPr="003A6CD4" w:rsidRDefault="00240B48">
      <w:pPr>
        <w:rPr>
          <w:lang w:val="en-US"/>
        </w:rPr>
      </w:pPr>
    </w:p>
    <w:p w14:paraId="033AE3D3" w14:textId="77777777" w:rsidR="00240B48" w:rsidRPr="003A6CD4" w:rsidRDefault="00240B48">
      <w:pPr>
        <w:rPr>
          <w:lang w:val="en-US"/>
        </w:rPr>
      </w:pPr>
    </w:p>
    <w:p w14:paraId="34FD08F0" w14:textId="77777777" w:rsidR="009D63B8" w:rsidRPr="009D63B8" w:rsidRDefault="00240B48" w:rsidP="009D63B8">
      <w:pPr>
        <w:pStyle w:val="Bibliografie"/>
        <w:rPr>
          <w:rFonts w:ascii="Aptos" w:hAnsi="Aptos"/>
          <w:lang w:val="en-US"/>
        </w:rPr>
      </w:pPr>
      <w:r>
        <w:rPr>
          <w:lang w:val="en-GB"/>
        </w:rPr>
        <w:fldChar w:fldCharType="begin"/>
      </w:r>
      <w:r w:rsidRPr="00E36740">
        <w:rPr>
          <w:lang w:val="en-US"/>
        </w:rPr>
        <w:instrText xml:space="preserve"> ADDIN ZOTERO_BIBL {"uncited":[],"omitted":[],"custom":[]} CSL_BIBLIOGRAPHY </w:instrText>
      </w:r>
      <w:r>
        <w:rPr>
          <w:lang w:val="en-GB"/>
        </w:rPr>
        <w:fldChar w:fldCharType="separate"/>
      </w:r>
      <w:r w:rsidR="009D63B8" w:rsidRPr="009D63B8">
        <w:rPr>
          <w:rFonts w:ascii="Aptos" w:hAnsi="Aptos"/>
          <w:lang w:val="en-US"/>
        </w:rPr>
        <w:t xml:space="preserve">Aletaha, D., &amp; Smolen, J. S. (2018). Diagnosis and Management of Rheumatoid Arthritis: A Review. </w:t>
      </w:r>
      <w:r w:rsidR="009D63B8" w:rsidRPr="009D63B8">
        <w:rPr>
          <w:rFonts w:ascii="Aptos" w:hAnsi="Aptos"/>
          <w:i/>
          <w:iCs/>
          <w:lang w:val="en-US"/>
        </w:rPr>
        <w:t>JAMA</w:t>
      </w:r>
      <w:r w:rsidR="009D63B8" w:rsidRPr="009D63B8">
        <w:rPr>
          <w:rFonts w:ascii="Aptos" w:hAnsi="Aptos"/>
          <w:lang w:val="en-US"/>
        </w:rPr>
        <w:t xml:space="preserve">, </w:t>
      </w:r>
      <w:r w:rsidR="009D63B8" w:rsidRPr="009D63B8">
        <w:rPr>
          <w:rFonts w:ascii="Aptos" w:hAnsi="Aptos"/>
          <w:i/>
          <w:iCs/>
          <w:lang w:val="en-US"/>
        </w:rPr>
        <w:t>320</w:t>
      </w:r>
      <w:r w:rsidR="009D63B8" w:rsidRPr="009D63B8">
        <w:rPr>
          <w:rFonts w:ascii="Aptos" w:hAnsi="Aptos"/>
          <w:lang w:val="en-US"/>
        </w:rPr>
        <w:t>(13), 1360. https://doi.org/10.1001/jama.2018.13103</w:t>
      </w:r>
    </w:p>
    <w:p w14:paraId="6A4CBB59" w14:textId="77777777" w:rsidR="009D63B8" w:rsidRPr="009D63B8" w:rsidRDefault="009D63B8" w:rsidP="009D63B8">
      <w:pPr>
        <w:pStyle w:val="Bibliografie"/>
        <w:rPr>
          <w:rFonts w:ascii="Aptos" w:hAnsi="Aptos"/>
          <w:lang w:val="en-US"/>
        </w:rPr>
      </w:pPr>
      <w:r w:rsidRPr="009D63B8">
        <w:rPr>
          <w:rFonts w:ascii="Aptos" w:hAnsi="Aptos"/>
        </w:rPr>
        <w:t xml:space="preserve">Arntz, O. J., Thurlings, R. M., Blaney Davidson, E. N., Jansen, P. W. T. C., Vermeulen, M., Koenders, M. I., Van Der Kraan, P. M., &amp; Van De Loo, F. A. J. (2024). </w:t>
      </w:r>
      <w:r w:rsidRPr="009D63B8">
        <w:rPr>
          <w:rFonts w:ascii="Aptos" w:hAnsi="Aptos"/>
          <w:lang w:val="en-US"/>
        </w:rPr>
        <w:t xml:space="preserve">Profiling of plasma extracellular vesicles identifies proteins that strongly associate with patient’s global assessment of disease activity in rheumatoid arthritis. </w:t>
      </w:r>
      <w:r w:rsidRPr="009D63B8">
        <w:rPr>
          <w:rFonts w:ascii="Aptos" w:hAnsi="Aptos"/>
          <w:i/>
          <w:iCs/>
          <w:lang w:val="en-US"/>
        </w:rPr>
        <w:t>Frontiers in Medicine</w:t>
      </w:r>
      <w:r w:rsidRPr="009D63B8">
        <w:rPr>
          <w:rFonts w:ascii="Aptos" w:hAnsi="Aptos"/>
          <w:lang w:val="en-US"/>
        </w:rPr>
        <w:t xml:space="preserve">, </w:t>
      </w:r>
      <w:r w:rsidRPr="009D63B8">
        <w:rPr>
          <w:rFonts w:ascii="Aptos" w:hAnsi="Aptos"/>
          <w:i/>
          <w:iCs/>
          <w:lang w:val="en-US"/>
        </w:rPr>
        <w:t>10</w:t>
      </w:r>
      <w:r w:rsidRPr="009D63B8">
        <w:rPr>
          <w:rFonts w:ascii="Aptos" w:hAnsi="Aptos"/>
          <w:lang w:val="en-US"/>
        </w:rPr>
        <w:t>, 1247778. https://doi.org/10.3389/fmed.2023.1247778</w:t>
      </w:r>
    </w:p>
    <w:p w14:paraId="1CBC2F35" w14:textId="77777777" w:rsidR="009D63B8" w:rsidRPr="009D63B8" w:rsidRDefault="009D63B8" w:rsidP="009D63B8">
      <w:pPr>
        <w:pStyle w:val="Bibliografie"/>
        <w:rPr>
          <w:rFonts w:ascii="Aptos" w:hAnsi="Aptos"/>
          <w:lang w:val="en-US"/>
        </w:rPr>
      </w:pPr>
      <w:r w:rsidRPr="009D63B8">
        <w:rPr>
          <w:rFonts w:ascii="Aptos" w:hAnsi="Aptos"/>
          <w:lang w:val="en-US"/>
        </w:rPr>
        <w:t xml:space="preserve">Buccitelli, C., &amp; Selbach, M. (2020). mRNAs, proteins and the emerging principles of gene expression control. </w:t>
      </w:r>
      <w:r w:rsidRPr="009D63B8">
        <w:rPr>
          <w:rFonts w:ascii="Aptos" w:hAnsi="Aptos"/>
          <w:i/>
          <w:iCs/>
          <w:lang w:val="en-US"/>
        </w:rPr>
        <w:t>Nature Reviews Genetics</w:t>
      </w:r>
      <w:r w:rsidRPr="009D63B8">
        <w:rPr>
          <w:rFonts w:ascii="Aptos" w:hAnsi="Aptos"/>
          <w:lang w:val="en-US"/>
        </w:rPr>
        <w:t xml:space="preserve">, </w:t>
      </w:r>
      <w:r w:rsidRPr="009D63B8">
        <w:rPr>
          <w:rFonts w:ascii="Aptos" w:hAnsi="Aptos"/>
          <w:i/>
          <w:iCs/>
          <w:lang w:val="en-US"/>
        </w:rPr>
        <w:t>21</w:t>
      </w:r>
      <w:r w:rsidRPr="009D63B8">
        <w:rPr>
          <w:rFonts w:ascii="Aptos" w:hAnsi="Aptos"/>
          <w:lang w:val="en-US"/>
        </w:rPr>
        <w:t>(10), 630-644. https://doi.org/10.1038/s41576-020-0258-4</w:t>
      </w:r>
    </w:p>
    <w:p w14:paraId="7A6BD0FA"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X., Chen, R., Jin, R., &amp; Huang, Z. (2020). The role of CXCL chemokine family in the development and progression of gastric cancer. </w:t>
      </w:r>
      <w:r w:rsidRPr="009D63B8">
        <w:rPr>
          <w:rFonts w:ascii="Aptos" w:hAnsi="Aptos"/>
          <w:i/>
          <w:iCs/>
          <w:lang w:val="en-US"/>
        </w:rPr>
        <w:t>International Journal of Clinical and Experimental Pathology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(3), 484-492.</w:t>
      </w:r>
    </w:p>
    <w:p w14:paraId="153D0707" w14:textId="77777777" w:rsidR="009D63B8" w:rsidRPr="009D63B8" w:rsidRDefault="009D63B8" w:rsidP="009D63B8">
      <w:pPr>
        <w:pStyle w:val="Bibliografie"/>
        <w:rPr>
          <w:rFonts w:ascii="Aptos" w:hAnsi="Aptos"/>
          <w:lang w:val="en-US"/>
        </w:rPr>
      </w:pPr>
      <w:r w:rsidRPr="009D63B8">
        <w:rPr>
          <w:rFonts w:ascii="Aptos" w:hAnsi="Aptos"/>
          <w:lang w:val="en-US"/>
        </w:rPr>
        <w:t xml:space="preserve">Chen, Y., Li, H., Lai, L., Feng, Q., &amp; Shen, J. (2020). Identification of Common Differentially Expressed Genes and Potential Therapeutic Targets in Ulcerative Colitis and Rheumatoid Arthritis. </w:t>
      </w:r>
      <w:r w:rsidRPr="009D63B8">
        <w:rPr>
          <w:rFonts w:ascii="Aptos" w:hAnsi="Aptos"/>
          <w:i/>
          <w:iCs/>
          <w:lang w:val="en-US"/>
        </w:rPr>
        <w:t>Frontiers in Genetics</w:t>
      </w:r>
      <w:r w:rsidRPr="009D63B8">
        <w:rPr>
          <w:rFonts w:ascii="Aptos" w:hAnsi="Aptos"/>
          <w:lang w:val="en-US"/>
        </w:rPr>
        <w:t xml:space="preserve">, </w:t>
      </w:r>
      <w:r w:rsidRPr="009D63B8">
        <w:rPr>
          <w:rFonts w:ascii="Aptos" w:hAnsi="Aptos"/>
          <w:i/>
          <w:iCs/>
          <w:lang w:val="en-US"/>
        </w:rPr>
        <w:t>11</w:t>
      </w:r>
      <w:r w:rsidRPr="009D63B8">
        <w:rPr>
          <w:rFonts w:ascii="Aptos" w:hAnsi="Aptos"/>
          <w:lang w:val="en-US"/>
        </w:rPr>
        <w:t>, 572194. https://doi.org/10.3389/fgene.2020.572194</w:t>
      </w:r>
    </w:p>
    <w:p w14:paraId="614342ED" w14:textId="77777777" w:rsidR="009D63B8" w:rsidRPr="009D63B8" w:rsidRDefault="009D63B8" w:rsidP="009D63B8">
      <w:pPr>
        <w:pStyle w:val="Bibliografie"/>
        <w:rPr>
          <w:rFonts w:ascii="Aptos" w:hAnsi="Aptos"/>
          <w:lang w:val="en-US"/>
        </w:rPr>
      </w:pPr>
      <w:r w:rsidRPr="009D63B8">
        <w:rPr>
          <w:rFonts w:ascii="Aptos" w:hAnsi="Aptos"/>
          <w:lang w:val="en-US"/>
        </w:rPr>
        <w:t xml:space="preserve">Gao, L., Ye, Z., Peng, S., Lei, P., Song, P., Li, Z., Zhou, L., Hua, Q., Cheng, L., Wei, H., Liu, J., &amp; Cai, Q. (2023). BCL2A1 is associated with tumor-associated macrophages and unfavorable prognosis in human gliomas. </w:t>
      </w:r>
      <w:r w:rsidRPr="009D63B8">
        <w:rPr>
          <w:rFonts w:ascii="Aptos" w:hAnsi="Aptos"/>
          <w:i/>
          <w:iCs/>
          <w:lang w:val="en-US"/>
        </w:rPr>
        <w:t>Aging (Albany NY)</w:t>
      </w:r>
      <w:r w:rsidRPr="009D63B8">
        <w:rPr>
          <w:rFonts w:ascii="Aptos" w:hAnsi="Aptos"/>
          <w:lang w:val="en-US"/>
        </w:rPr>
        <w:t xml:space="preserve">, </w:t>
      </w:r>
      <w:r w:rsidRPr="009D63B8">
        <w:rPr>
          <w:rFonts w:ascii="Aptos" w:hAnsi="Aptos"/>
          <w:i/>
          <w:iCs/>
          <w:lang w:val="en-US"/>
        </w:rPr>
        <w:t>15</w:t>
      </w:r>
      <w:r w:rsidRPr="009D63B8">
        <w:rPr>
          <w:rFonts w:ascii="Aptos" w:hAnsi="Aptos"/>
          <w:lang w:val="en-US"/>
        </w:rPr>
        <w:t>(20), 11611-11638. https://doi.org/10.18632/aging.205149</w:t>
      </w:r>
    </w:p>
    <w:p w14:paraId="6C6B5E74" w14:textId="77777777" w:rsidR="009D63B8" w:rsidRPr="009D63B8" w:rsidRDefault="009D63B8" w:rsidP="009D63B8">
      <w:pPr>
        <w:pStyle w:val="Bibliografie"/>
        <w:rPr>
          <w:rFonts w:ascii="Aptos" w:hAnsi="Aptos"/>
          <w:lang w:val="en-US"/>
        </w:rPr>
      </w:pPr>
      <w:r w:rsidRPr="009D63B8">
        <w:rPr>
          <w:rFonts w:ascii="Aptos" w:hAnsi="Aptos"/>
          <w:lang w:val="en-US"/>
        </w:rPr>
        <w:t xml:space="preserve">Khodadadian, A., Darzi, S., Haghi-Daredeh, S., Sadat Eshaghi, F., Babakhanzadeh, E., Mirabutalebi, S. H., &amp; Nazari, M. (2020). Genomics and Transcriptomics: The Powerful Technologies in Precision Medicine. </w:t>
      </w:r>
      <w:r w:rsidRPr="009D63B8">
        <w:rPr>
          <w:rFonts w:ascii="Aptos" w:hAnsi="Aptos"/>
          <w:i/>
          <w:iCs/>
          <w:lang w:val="en-US"/>
        </w:rPr>
        <w:t>International Journal of General Medicine</w:t>
      </w:r>
      <w:r w:rsidRPr="009D63B8">
        <w:rPr>
          <w:rFonts w:ascii="Aptos" w:hAnsi="Aptos"/>
          <w:lang w:val="en-US"/>
        </w:rPr>
        <w:t xml:space="preserve">, </w:t>
      </w:r>
      <w:r w:rsidRPr="009D63B8">
        <w:rPr>
          <w:rFonts w:ascii="Aptos" w:hAnsi="Aptos"/>
          <w:i/>
          <w:iCs/>
          <w:lang w:val="en-US"/>
        </w:rPr>
        <w:t>Volume 13</w:t>
      </w:r>
      <w:r w:rsidRPr="009D63B8">
        <w:rPr>
          <w:rFonts w:ascii="Aptos" w:hAnsi="Aptos"/>
          <w:lang w:val="en-US"/>
        </w:rPr>
        <w:t>, 627-640. https://doi.org/10.2147/IJGM.S249970</w:t>
      </w:r>
    </w:p>
    <w:p w14:paraId="6E13789B" w14:textId="77777777" w:rsidR="009D63B8" w:rsidRPr="009D63B8" w:rsidRDefault="009D63B8" w:rsidP="009D63B8">
      <w:pPr>
        <w:pStyle w:val="Bibliografie"/>
        <w:rPr>
          <w:rFonts w:ascii="Aptos" w:hAnsi="Aptos"/>
          <w:lang w:val="en-US"/>
        </w:rPr>
      </w:pPr>
      <w:r w:rsidRPr="009D63B8">
        <w:rPr>
          <w:rFonts w:ascii="Aptos" w:hAnsi="Aptos"/>
        </w:rPr>
        <w:lastRenderedPageBreak/>
        <w:t xml:space="preserve">Khodadust, F., Ezdoglian, A., Steinz, M. M., van Beijnum, J. R., Zwezerijnen, G. J. C., Jansen, G., Tas, S. W., &amp; van der Laken, C. J. (2022). </w:t>
      </w:r>
      <w:r w:rsidRPr="009D63B8">
        <w:rPr>
          <w:rFonts w:ascii="Aptos" w:hAnsi="Aptos"/>
          <w:lang w:val="en-US"/>
        </w:rPr>
        <w:t xml:space="preserve">Systematic Review: Targeted Molecular Imaging of Angiogenesis and Its Mediators in Rheumatoid Arthritis. </w:t>
      </w:r>
      <w:r w:rsidRPr="009D63B8">
        <w:rPr>
          <w:rFonts w:ascii="Aptos" w:hAnsi="Aptos"/>
          <w:i/>
          <w:iCs/>
          <w:lang w:val="en-US"/>
        </w:rPr>
        <w:t>International Journal of Molecular Sciences</w:t>
      </w:r>
      <w:r w:rsidRPr="009D63B8">
        <w:rPr>
          <w:rFonts w:ascii="Aptos" w:hAnsi="Aptos"/>
          <w:lang w:val="en-US"/>
        </w:rPr>
        <w:t xml:space="preserve">, </w:t>
      </w:r>
      <w:r w:rsidRPr="009D63B8">
        <w:rPr>
          <w:rFonts w:ascii="Aptos" w:hAnsi="Aptos"/>
          <w:i/>
          <w:iCs/>
          <w:lang w:val="en-US"/>
        </w:rPr>
        <w:t>23</w:t>
      </w:r>
      <w:r w:rsidRPr="009D63B8">
        <w:rPr>
          <w:rFonts w:ascii="Aptos" w:hAnsi="Aptos"/>
          <w:lang w:val="en-US"/>
        </w:rPr>
        <w:t>(13), Article 13. https://doi.org/10.3390/ijms23137071</w:t>
      </w:r>
    </w:p>
    <w:p w14:paraId="7C06C4DF" w14:textId="77777777" w:rsidR="009D63B8" w:rsidRPr="009D63B8" w:rsidRDefault="009D63B8" w:rsidP="009D63B8">
      <w:pPr>
        <w:pStyle w:val="Bibliografie"/>
        <w:rPr>
          <w:rFonts w:ascii="Aptos" w:hAnsi="Aptos"/>
          <w:lang w:val="en-US"/>
        </w:rPr>
      </w:pPr>
      <w:r w:rsidRPr="009D63B8">
        <w:rPr>
          <w:rFonts w:ascii="Aptos" w:hAnsi="Aptos"/>
          <w:lang w:val="en-US"/>
        </w:rPr>
        <w:t xml:space="preserve">Kovács, O. T., Tóth, E., Ozohanics, O., Soltész-Katona, E., Marton, N., Buzás, E. I., Hunyady, L., Drahos, L., Turu, G., &amp; Nagy, G. (2022). Proteomic Changes of Osteoclast Differentiation in Rheumatoid and Psoriatic Arthritis Reveal Functional Differences.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13</w:t>
      </w:r>
      <w:r w:rsidRPr="009D63B8">
        <w:rPr>
          <w:rFonts w:ascii="Aptos" w:hAnsi="Aptos"/>
          <w:lang w:val="en-US"/>
        </w:rPr>
        <w:t>, 892970. https://doi.org/10.3389/fimmu.2022.892970</w:t>
      </w:r>
    </w:p>
    <w:p w14:paraId="2ABB94E0" w14:textId="77777777" w:rsidR="009D63B8" w:rsidRPr="009D63B8" w:rsidRDefault="009D63B8" w:rsidP="009D63B8">
      <w:pPr>
        <w:pStyle w:val="Bibliografie"/>
        <w:rPr>
          <w:rFonts w:ascii="Aptos" w:hAnsi="Aptos"/>
          <w:lang w:val="en-US"/>
        </w:rPr>
      </w:pPr>
      <w:r w:rsidRPr="009D63B8">
        <w:rPr>
          <w:rFonts w:ascii="Aptos" w:hAnsi="Aptos"/>
          <w:lang w:val="en-US"/>
        </w:rPr>
        <w:t xml:space="preserve">Oikawa, D., Shimizu, K., &amp; Tokunaga, F. (2023). Pleiotropic Roles of a KEAP1-Associated Deubiquitinase, OTUD1. </w:t>
      </w:r>
      <w:r w:rsidRPr="009D63B8">
        <w:rPr>
          <w:rFonts w:ascii="Aptos" w:hAnsi="Aptos"/>
          <w:i/>
          <w:iCs/>
          <w:lang w:val="en-US"/>
        </w:rPr>
        <w:t>Antioxidants</w:t>
      </w:r>
      <w:r w:rsidRPr="009D63B8">
        <w:rPr>
          <w:rFonts w:ascii="Aptos" w:hAnsi="Aptos"/>
          <w:lang w:val="en-US"/>
        </w:rPr>
        <w:t xml:space="preserve">, </w:t>
      </w:r>
      <w:r w:rsidRPr="009D63B8">
        <w:rPr>
          <w:rFonts w:ascii="Aptos" w:hAnsi="Aptos"/>
          <w:i/>
          <w:iCs/>
          <w:lang w:val="en-US"/>
        </w:rPr>
        <w:t>12</w:t>
      </w:r>
      <w:r w:rsidRPr="009D63B8">
        <w:rPr>
          <w:rFonts w:ascii="Aptos" w:hAnsi="Aptos"/>
          <w:lang w:val="en-US"/>
        </w:rPr>
        <w:t>(2), 350. https://doi.org/10.3390/antiox12020350</w:t>
      </w:r>
    </w:p>
    <w:p w14:paraId="794B2492" w14:textId="77777777" w:rsidR="009D63B8" w:rsidRPr="009D63B8" w:rsidRDefault="009D63B8" w:rsidP="009D63B8">
      <w:pPr>
        <w:pStyle w:val="Bibliografie"/>
        <w:rPr>
          <w:rFonts w:ascii="Aptos" w:hAnsi="Aptos"/>
          <w:lang w:val="en-US"/>
        </w:rPr>
      </w:pPr>
      <w:r w:rsidRPr="009D63B8">
        <w:rPr>
          <w:rFonts w:ascii="Aptos" w:hAnsi="Aptos"/>
          <w:lang w:val="en-US"/>
        </w:rPr>
        <w:t xml:space="preserve">Rahimi-Khorashad, M., Ghoryani, M., Shabgah, A. G., Shariati-Sarabi, Z., Tavakkol-Afshari, J., &amp; Mohammadi, M. (2023). The Effects of Mesenchymal Stem Cells on the Gene Expression of TGF-beta and IFN-gamma in Patients with Rheumatoid Arthritis. </w:t>
      </w:r>
      <w:r w:rsidRPr="009D63B8">
        <w:rPr>
          <w:rFonts w:ascii="Aptos" w:hAnsi="Aptos"/>
          <w:i/>
          <w:iCs/>
          <w:lang w:val="en-US"/>
        </w:rPr>
        <w:t>Iranian Journal of Allergy, Asthma and Immunology</w:t>
      </w:r>
      <w:r w:rsidRPr="009D63B8">
        <w:rPr>
          <w:rFonts w:ascii="Aptos" w:hAnsi="Aptos"/>
          <w:lang w:val="en-US"/>
        </w:rPr>
        <w:t>. https://doi.org/10.18502/ijaai.v22i2.12679</w:t>
      </w:r>
    </w:p>
    <w:p w14:paraId="52C6F504" w14:textId="77777777" w:rsidR="009D63B8" w:rsidRPr="009D63B8" w:rsidRDefault="009D63B8" w:rsidP="009D63B8">
      <w:pPr>
        <w:pStyle w:val="Bibliografie"/>
        <w:rPr>
          <w:rFonts w:ascii="Aptos" w:hAnsi="Aptos"/>
          <w:lang w:val="en-US"/>
        </w:rPr>
      </w:pPr>
      <w:r w:rsidRPr="009D63B8">
        <w:rPr>
          <w:rFonts w:ascii="Aptos" w:hAnsi="Aptos"/>
          <w:lang w:val="en-US"/>
        </w:rPr>
        <w:t xml:space="preserve">Suwa, Y., Nagafuchi, Y., Yamada, S., &amp; Fujio, K. (2023). The role of dendritic cells and their immunometabolism in rheumatoid arthritis. </w:t>
      </w:r>
      <w:r w:rsidRPr="009D63B8">
        <w:rPr>
          <w:rFonts w:ascii="Aptos" w:hAnsi="Aptos"/>
          <w:i/>
          <w:iCs/>
          <w:lang w:val="en-US"/>
        </w:rPr>
        <w:t>Frontiers in Immunology</w:t>
      </w:r>
      <w:r w:rsidRPr="009D63B8">
        <w:rPr>
          <w:rFonts w:ascii="Aptos" w:hAnsi="Aptos"/>
          <w:lang w:val="en-US"/>
        </w:rPr>
        <w:t xml:space="preserve">, </w:t>
      </w:r>
      <w:r w:rsidRPr="009D63B8">
        <w:rPr>
          <w:rFonts w:ascii="Aptos" w:hAnsi="Aptos"/>
          <w:i/>
          <w:iCs/>
          <w:lang w:val="en-US"/>
        </w:rPr>
        <w:t>14</w:t>
      </w:r>
      <w:r w:rsidRPr="009D63B8">
        <w:rPr>
          <w:rFonts w:ascii="Aptos" w:hAnsi="Aptos"/>
          <w:lang w:val="en-US"/>
        </w:rPr>
        <w:t>, 1161148. https://doi.org/10.3389/fimmu.2023.1161148</w:t>
      </w:r>
    </w:p>
    <w:p w14:paraId="35B27D96" w14:textId="77777777" w:rsidR="009D63B8" w:rsidRPr="009D63B8" w:rsidRDefault="009D63B8" w:rsidP="009D63B8">
      <w:pPr>
        <w:pStyle w:val="Bibliografie"/>
        <w:rPr>
          <w:rFonts w:ascii="Aptos" w:hAnsi="Aptos"/>
          <w:lang w:val="en-US"/>
        </w:rPr>
      </w:pPr>
      <w:r w:rsidRPr="009D63B8">
        <w:rPr>
          <w:rFonts w:ascii="Aptos" w:hAnsi="Aptos"/>
          <w:lang w:val="en-US"/>
        </w:rPr>
        <w:t xml:space="preserve">Wehr, P., Purvis, H., Law, S.-C., &amp; Thomas, R. (2019). Dendritic cells, T cells and their interaction in rheumatoid arthritis. </w:t>
      </w:r>
      <w:r w:rsidRPr="009D63B8">
        <w:rPr>
          <w:rFonts w:ascii="Aptos" w:hAnsi="Aptos"/>
          <w:i/>
          <w:iCs/>
          <w:lang w:val="en-US"/>
        </w:rPr>
        <w:t>Clinical and Experimental Immunology</w:t>
      </w:r>
      <w:r w:rsidRPr="009D63B8">
        <w:rPr>
          <w:rFonts w:ascii="Aptos" w:hAnsi="Aptos"/>
          <w:lang w:val="en-US"/>
        </w:rPr>
        <w:t xml:space="preserve">, </w:t>
      </w:r>
      <w:r w:rsidRPr="009D63B8">
        <w:rPr>
          <w:rFonts w:ascii="Aptos" w:hAnsi="Aptos"/>
          <w:i/>
          <w:iCs/>
          <w:lang w:val="en-US"/>
        </w:rPr>
        <w:t>196</w:t>
      </w:r>
      <w:r w:rsidRPr="009D63B8">
        <w:rPr>
          <w:rFonts w:ascii="Aptos" w:hAnsi="Aptos"/>
          <w:lang w:val="en-US"/>
        </w:rPr>
        <w:t>(1), 12-27. https://doi.org/10.1111/cei.13256</w:t>
      </w:r>
    </w:p>
    <w:p w14:paraId="1B88A2E2" w14:textId="77777777" w:rsidR="009D63B8" w:rsidRPr="009D63B8" w:rsidRDefault="009D63B8" w:rsidP="009D63B8">
      <w:pPr>
        <w:pStyle w:val="Bibliografie"/>
        <w:rPr>
          <w:rFonts w:ascii="Aptos" w:hAnsi="Aptos"/>
        </w:rPr>
      </w:pPr>
      <w:r w:rsidRPr="009D63B8">
        <w:rPr>
          <w:rFonts w:ascii="Aptos" w:hAnsi="Aptos"/>
          <w:lang w:val="en-US"/>
        </w:rPr>
        <w:t xml:space="preserve">Zhu, S., Liu, M., Bennett, S., Wang, Z., Pfleger, K. D. G., &amp; Xu, J. (2021). The molecular structure and role of CCL2 (MCP-1) and C-C chemokine receptor CCR2 in skeletal biology and diseases. </w:t>
      </w:r>
      <w:r w:rsidRPr="009D63B8">
        <w:rPr>
          <w:rFonts w:ascii="Aptos" w:hAnsi="Aptos"/>
          <w:i/>
          <w:iCs/>
        </w:rPr>
        <w:t>Journal of Cellular Physiology</w:t>
      </w:r>
      <w:r w:rsidRPr="009D63B8">
        <w:rPr>
          <w:rFonts w:ascii="Aptos" w:hAnsi="Aptos"/>
        </w:rPr>
        <w:t xml:space="preserve">, </w:t>
      </w:r>
      <w:r w:rsidRPr="009D63B8">
        <w:rPr>
          <w:rFonts w:ascii="Aptos" w:hAnsi="Aptos"/>
          <w:i/>
          <w:iCs/>
        </w:rPr>
        <w:t>236</w:t>
      </w:r>
      <w:r w:rsidRPr="009D63B8">
        <w:rPr>
          <w:rFonts w:ascii="Aptos" w:hAnsi="Aptos"/>
        </w:rPr>
        <w:t>(10), 7211-7222. https://doi.org/10.1002/jcp.30375</w:t>
      </w:r>
    </w:p>
    <w:p w14:paraId="35F31135" w14:textId="3097BEAF" w:rsidR="00953871" w:rsidRDefault="00240B48">
      <w:pPr>
        <w:rPr>
          <w:lang w:val="en-GB"/>
        </w:rPr>
      </w:pPr>
      <w:r>
        <w:rPr>
          <w:lang w:val="en-GB"/>
        </w:rPr>
        <w:fldChar w:fldCharType="end"/>
      </w:r>
    </w:p>
    <w:p w14:paraId="055F2B51" w14:textId="77777777" w:rsidR="00953871" w:rsidRDefault="00953871">
      <w:pPr>
        <w:rPr>
          <w:lang w:val="en-GB"/>
        </w:rPr>
      </w:pPr>
    </w:p>
    <w:p w14:paraId="34BE3614" w14:textId="77777777" w:rsidR="00953871" w:rsidRDefault="00953871">
      <w:pPr>
        <w:rPr>
          <w:lang w:val="en-GB"/>
        </w:rPr>
      </w:pPr>
    </w:p>
    <w:p w14:paraId="6B0E3AAD" w14:textId="77777777" w:rsidR="00953871" w:rsidRDefault="00953871">
      <w:pPr>
        <w:rPr>
          <w:lang w:val="en-GB"/>
        </w:rPr>
      </w:pPr>
    </w:p>
    <w:p w14:paraId="66C45861" w14:textId="57E556AA" w:rsidR="00953871" w:rsidRDefault="00953871">
      <w:pPr>
        <w:rPr>
          <w:lang w:val="en-GB"/>
        </w:rPr>
      </w:pPr>
      <w:r>
        <w:rPr>
          <w:lang w:val="en-GB"/>
        </w:rPr>
        <w:br w:type="page"/>
      </w:r>
    </w:p>
    <w:p w14:paraId="3014913D" w14:textId="71ECE601" w:rsidR="000443A9" w:rsidRDefault="000443A9">
      <w:pPr>
        <w:rPr>
          <w:lang w:val="en-GB"/>
        </w:rPr>
      </w:pPr>
    </w:p>
    <w:p w14:paraId="1C09353F" w14:textId="77777777" w:rsidR="00A5687E" w:rsidRDefault="00A5687E">
      <w:pPr>
        <w:rPr>
          <w:lang w:val="en-GB"/>
        </w:rPr>
      </w:pPr>
    </w:p>
    <w:p w14:paraId="2149AA3A" w14:textId="77777777" w:rsidR="00A5687E" w:rsidRDefault="00A5687E">
      <w:pPr>
        <w:rPr>
          <w:lang w:val="en-GB"/>
        </w:rPr>
      </w:pPr>
    </w:p>
    <w:p w14:paraId="7F4D5E85" w14:textId="77777777" w:rsidR="00A5687E" w:rsidRDefault="00A5687E">
      <w:pPr>
        <w:rPr>
          <w:lang w:val="en-GB"/>
        </w:rPr>
      </w:pPr>
    </w:p>
    <w:p w14:paraId="0E64BA7F" w14:textId="77777777" w:rsidR="00A5687E" w:rsidRDefault="00A5687E">
      <w:pPr>
        <w:rPr>
          <w:lang w:val="en-GB"/>
        </w:rPr>
      </w:pPr>
    </w:p>
    <w:p w14:paraId="1D1A2318" w14:textId="77777777" w:rsidR="00A5687E" w:rsidRDefault="00A5687E">
      <w:pPr>
        <w:rPr>
          <w:lang w:val="en-GB"/>
        </w:rPr>
      </w:pPr>
    </w:p>
    <w:p w14:paraId="2286CE95" w14:textId="77777777" w:rsidR="00A5687E" w:rsidRDefault="00A5687E">
      <w:pPr>
        <w:rPr>
          <w:lang w:val="en-GB"/>
        </w:rPr>
      </w:pPr>
    </w:p>
    <w:p w14:paraId="7F53A3C7" w14:textId="77777777" w:rsidR="00A5687E" w:rsidRDefault="00A5687E">
      <w:pPr>
        <w:rPr>
          <w:lang w:val="en-GB"/>
        </w:rPr>
      </w:pPr>
    </w:p>
    <w:p w14:paraId="282452BF" w14:textId="05B24C9D" w:rsidR="00A5687E" w:rsidRDefault="004E1724">
      <w:pPr>
        <w:rPr>
          <w:lang w:val="en-GB"/>
        </w:rPr>
      </w:pPr>
      <w:r>
        <w:rPr>
          <w:noProof/>
        </w:rPr>
        <w:drawing>
          <wp:anchor distT="0" distB="0" distL="114300" distR="114300" simplePos="0" relativeHeight="251707392" behindDoc="1" locked="0" layoutInCell="1" allowOverlap="1" wp14:anchorId="293AAC64" wp14:editId="721DCC7A">
            <wp:simplePos x="0" y="0"/>
            <wp:positionH relativeFrom="margin">
              <wp:posOffset>-766445</wp:posOffset>
            </wp:positionH>
            <wp:positionV relativeFrom="paragraph">
              <wp:posOffset>1905</wp:posOffset>
            </wp:positionV>
            <wp:extent cx="7203440" cy="4730750"/>
            <wp:effectExtent l="0" t="0" r="0" b="0"/>
            <wp:wrapTight wrapText="bothSides">
              <wp:wrapPolygon edited="0">
                <wp:start x="0" y="0"/>
                <wp:lineTo x="0" y="21484"/>
                <wp:lineTo x="21535" y="21484"/>
                <wp:lineTo x="21535" y="0"/>
                <wp:lineTo x="0" y="0"/>
              </wp:wrapPolygon>
            </wp:wrapTight>
            <wp:docPr id="476787088" name="Afbeelding 1" descr="Afbeelding met tekst, software, Computerpictogram,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87088" name="Afbeelding 1" descr="Afbeelding met tekst, software, Computerpictogram, Multimediasoftware&#10;&#10;Door AI gegenereerde inhoud is mogelijk onjuist."/>
                    <pic:cNvPicPr/>
                  </pic:nvPicPr>
                  <pic:blipFill rotWithShape="1">
                    <a:blip r:embed="rId6">
                      <a:extLst>
                        <a:ext uri="{28A0092B-C50C-407E-A947-70E740481C1C}">
                          <a14:useLocalDpi xmlns:a14="http://schemas.microsoft.com/office/drawing/2010/main" val="0"/>
                        </a:ext>
                      </a:extLst>
                    </a:blip>
                    <a:srcRect l="18805" t="20996" r="20034" b="7598"/>
                    <a:stretch>
                      <a:fillRect/>
                    </a:stretch>
                  </pic:blipFill>
                  <pic:spPr bwMode="auto">
                    <a:xfrm>
                      <a:off x="0" y="0"/>
                      <a:ext cx="7203440" cy="473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CE784" w14:textId="77777777" w:rsidR="001870DD" w:rsidRPr="008E71DE" w:rsidRDefault="001870DD" w:rsidP="001870DD">
      <w:pPr>
        <w:rPr>
          <w:b/>
          <w:bCs/>
          <w:lang w:val="en-GB"/>
        </w:rPr>
      </w:pPr>
      <w:r w:rsidRPr="00953871">
        <w:rPr>
          <w:b/>
          <w:bCs/>
          <w:highlight w:val="yellow"/>
          <w:lang w:val="en-GB"/>
        </w:rPr>
        <w:t>Upregulation of osteoclasts</w:t>
      </w:r>
    </w:p>
    <w:p w14:paraId="377AA2D2" w14:textId="77777777" w:rsidR="001870DD" w:rsidRDefault="001870DD" w:rsidP="001870DD">
      <w:pPr>
        <w:rPr>
          <w:lang w:val="en-GB"/>
        </w:rPr>
      </w:pPr>
      <w:proofErr w:type="spellStart"/>
      <w:r w:rsidRPr="008E71DE">
        <w:rPr>
          <w:lang w:val="en-GB"/>
        </w:rPr>
        <w:t>Imbalancein</w:t>
      </w:r>
      <w:proofErr w:type="spellEnd"/>
      <w:r w:rsidRPr="008E71DE">
        <w:rPr>
          <w:lang w:val="en-GB"/>
        </w:rPr>
        <w:t xml:space="preserve"> </w:t>
      </w:r>
      <w:proofErr w:type="spellStart"/>
      <w:r w:rsidRPr="008E71DE">
        <w:rPr>
          <w:lang w:val="en-GB"/>
        </w:rPr>
        <w:t>thefinely</w:t>
      </w:r>
      <w:proofErr w:type="spellEnd"/>
      <w:r w:rsidRPr="008E71DE">
        <w:rPr>
          <w:lang w:val="en-GB"/>
        </w:rPr>
        <w:t xml:space="preserve"> regulated osteoblast-osteoclast system plays a central role in the pathogenesis of several metabolic bone and systemic inflammatory diseases. Due to the complex interactions of the bone and the immune system, inflammation may accelerate/ increase bone resorption via osteoclast activation. Local osteoclast activation is promoted by proinflammatory cytokines released during inflammation (TNF-a, IL-1, IL-6, IL-17, IL-23</w:t>
      </w:r>
      <w:proofErr w:type="gramStart"/>
      <w:r w:rsidRPr="008E71DE">
        <w:rPr>
          <w:lang w:val="en-GB"/>
        </w:rPr>
        <w:t>),</w:t>
      </w:r>
      <w:proofErr w:type="spellStart"/>
      <w:r w:rsidRPr="008E71DE">
        <w:rPr>
          <w:lang w:val="en-GB"/>
        </w:rPr>
        <w:t>byRANK</w:t>
      </w:r>
      <w:proofErr w:type="gramEnd"/>
      <w:r w:rsidRPr="008E71DE">
        <w:rPr>
          <w:lang w:val="en-GB"/>
        </w:rPr>
        <w:t>-Lproduced</w:t>
      </w:r>
      <w:proofErr w:type="spellEnd"/>
      <w:r w:rsidRPr="008E71DE">
        <w:rPr>
          <w:lang w:val="en-GB"/>
        </w:rPr>
        <w:t xml:space="preserve"> by lymphocytes and fibroblasts, and by direct cell-cell interactions (12, </w:t>
      </w:r>
      <w:r w:rsidRPr="008E71DE">
        <w:rPr>
          <w:lang w:val="en-GB"/>
        </w:rPr>
        <w:lastRenderedPageBreak/>
        <w:t>13). The production of IL-17 by Th17 lymphocytes is elevated in certain inflammatory conditions, which has a synergic effect with IL-1 and TNF-</w:t>
      </w:r>
      <w:proofErr w:type="gramStart"/>
      <w:r w:rsidRPr="008E71DE">
        <w:rPr>
          <w:lang w:val="en-GB"/>
        </w:rPr>
        <w:t>a(</w:t>
      </w:r>
      <w:proofErr w:type="gramEnd"/>
      <w:r w:rsidRPr="008E71DE">
        <w:rPr>
          <w:lang w:val="en-GB"/>
        </w:rPr>
        <w:t>14). Consequently, osteoclasts and synovial fibroblasts in the joint can be activated. Therefore, inflammation is associated with local and systemic bone loss in inflammatory arthropathies e.g. rheumatoid arthritis (RA) or psoriatic arthritis (PsA).</w:t>
      </w:r>
    </w:p>
    <w:p w14:paraId="76C53365" w14:textId="77777777" w:rsidR="001870DD" w:rsidRPr="008E71DE" w:rsidRDefault="001870DD" w:rsidP="001870DD">
      <w:pPr>
        <w:rPr>
          <w:b/>
          <w:bCs/>
          <w:lang w:val="en-GB"/>
        </w:rPr>
      </w:pPr>
      <w:r w:rsidRPr="008E71DE">
        <w:rPr>
          <w:b/>
          <w:bCs/>
          <w:lang w:val="en-GB"/>
        </w:rPr>
        <w:t>V-</w:t>
      </w:r>
      <w:proofErr w:type="spellStart"/>
      <w:r w:rsidRPr="008E71DE">
        <w:rPr>
          <w:b/>
          <w:bCs/>
          <w:lang w:val="en-GB"/>
        </w:rPr>
        <w:t>atpase</w:t>
      </w:r>
      <w:proofErr w:type="spellEnd"/>
    </w:p>
    <w:p w14:paraId="0651931F" w14:textId="77777777" w:rsidR="001870DD" w:rsidRDefault="001870DD" w:rsidP="001870DD">
      <w:pPr>
        <w:rPr>
          <w:lang w:val="en-GB"/>
        </w:rPr>
      </w:pPr>
      <w:r w:rsidRPr="008E71DE">
        <w:rPr>
          <w:lang w:val="en-GB"/>
        </w:rPr>
        <w:t xml:space="preserve">The increased osteoclast-specific secretion is supported by the increased expression of </w:t>
      </w:r>
      <w:proofErr w:type="spellStart"/>
      <w:r w:rsidRPr="008E71DE">
        <w:rPr>
          <w:lang w:val="en-GB"/>
        </w:rPr>
        <w:t>vacuolar</w:t>
      </w:r>
      <w:proofErr w:type="spellEnd"/>
      <w:r w:rsidRPr="008E71DE">
        <w:rPr>
          <w:lang w:val="en-GB"/>
        </w:rPr>
        <w:t xml:space="preserve">-type H+ -ATPase (V-ATPase), sodium/hydrogen exchanger 9B2 (a Na+ /H+ antiporter) (39, 40), cathepsin K and B (proteolytic enzymes) (41, 42), and lysosomal acid phosphatase (43). Integrin alpha-V crossing the cell membrane and anchored to the bone surface is essential, with which osteoclasts come into close contact with bone and promote the formation of the resorption lacunae (44). These results </w:t>
      </w:r>
      <w:proofErr w:type="gramStart"/>
      <w:r w:rsidRPr="008E71DE">
        <w:rPr>
          <w:lang w:val="en-GB"/>
        </w:rPr>
        <w:t>show,</w:t>
      </w:r>
      <w:proofErr w:type="gramEnd"/>
      <w:r w:rsidRPr="008E71DE">
        <w:rPr>
          <w:lang w:val="en-GB"/>
        </w:rPr>
        <w:t xml:space="preserve"> that the proteins with increased expression in osteoclasts detected in our experiments fit well with the previously reported characteristics of these cells.</w:t>
      </w:r>
    </w:p>
    <w:p w14:paraId="0285AF42" w14:textId="77777777" w:rsidR="001870DD" w:rsidRPr="008E71DE" w:rsidRDefault="001870DD" w:rsidP="001870DD">
      <w:pPr>
        <w:rPr>
          <w:b/>
          <w:bCs/>
          <w:lang w:val="en-GB"/>
        </w:rPr>
      </w:pPr>
      <w:r w:rsidRPr="008E71DE">
        <w:rPr>
          <w:b/>
          <w:bCs/>
          <w:lang w:val="en-GB"/>
        </w:rPr>
        <w:t>This is not how it should be</w:t>
      </w:r>
    </w:p>
    <w:p w14:paraId="5DA123C8" w14:textId="77777777" w:rsidR="001870DD" w:rsidRPr="008E71DE" w:rsidRDefault="001870DD" w:rsidP="001870DD">
      <w:pPr>
        <w:rPr>
          <w:lang w:val="en-GB"/>
        </w:rPr>
      </w:pPr>
      <w:r w:rsidRPr="008E71DE">
        <w:rPr>
          <w:lang w:val="en-GB"/>
        </w:rPr>
        <w:t>Both RANK-L and M-CSF are essential for the differentiation, activation, and survival of osteoclasts</w:t>
      </w:r>
      <w:r>
        <w:rPr>
          <w:lang w:val="en-GB"/>
        </w:rPr>
        <w:t xml:space="preserve">. </w:t>
      </w:r>
      <w:r w:rsidRPr="008E71DE">
        <w:rPr>
          <w:lang w:val="en-GB"/>
        </w:rPr>
        <w:t>The production of IL-17 by Th17 lymphocytes is elevated in certain inflammatory conditions, which has a synergic effect with IL-1 and TNF-a</w:t>
      </w:r>
    </w:p>
    <w:p w14:paraId="09E6A154" w14:textId="77777777" w:rsidR="001870DD" w:rsidRDefault="001870DD" w:rsidP="001870DD">
      <w:pPr>
        <w:rPr>
          <w:lang w:val="en-GB"/>
        </w:rPr>
      </w:pPr>
      <w:hyperlink r:id="rId7" w:history="1">
        <w:r w:rsidRPr="00F60259">
          <w:rPr>
            <w:rStyle w:val="Hyperlink"/>
            <w:lang w:val="en-GB"/>
          </w:rPr>
          <w:t>file:///C:/Users/Yaelf/Downloads/fimmu-13-892970.pdf</w:t>
        </w:r>
      </w:hyperlink>
      <w:r w:rsidRPr="008E71DE">
        <w:rPr>
          <w:lang w:val="en-GB"/>
        </w:rPr>
        <w:t xml:space="preserve"> </w:t>
      </w:r>
    </w:p>
    <w:p w14:paraId="6FC7CCAF" w14:textId="77777777" w:rsidR="001870DD" w:rsidRPr="002F1A5B" w:rsidRDefault="001870DD" w:rsidP="001870DD">
      <w:pPr>
        <w:rPr>
          <w:b/>
          <w:bCs/>
          <w:lang w:val="en-GB"/>
        </w:rPr>
      </w:pPr>
      <w:r w:rsidRPr="002F1A5B">
        <w:rPr>
          <w:b/>
          <w:bCs/>
          <w:lang w:val="en-GB"/>
        </w:rPr>
        <w:t>upregulation Th17</w:t>
      </w:r>
    </w:p>
    <w:p w14:paraId="5F04461D" w14:textId="77777777" w:rsidR="001870DD" w:rsidRDefault="001870DD" w:rsidP="001870DD">
      <w:pPr>
        <w:rPr>
          <w:lang w:val="en-GB"/>
        </w:rPr>
      </w:pPr>
      <w:r w:rsidRPr="008E71DE">
        <w:rPr>
          <w:lang w:val="en-GB"/>
        </w:rPr>
        <w:t xml:space="preserve">Th17 cells and Treg cells, each with specific functions and gene expression, develop from the same naive CD4+ T cells, but under different cytokine environment (3). Typical proinflammatory Th17 cells, through the induction of proinflammatory cytokines, lead to autoimmune-derived tissue inflammation and joint damage. Furthermore, the activity of Th17 cells, as well as other effector T cells, is suppressed by Treg cell </w:t>
      </w:r>
    </w:p>
    <w:p w14:paraId="4202C025" w14:textId="77777777" w:rsidR="001870DD" w:rsidRDefault="001870DD" w:rsidP="001870DD">
      <w:pPr>
        <w:rPr>
          <w:lang w:val="en-GB"/>
        </w:rPr>
      </w:pPr>
      <w:hyperlink r:id="rId8" w:history="1">
        <w:r w:rsidRPr="00F60259">
          <w:rPr>
            <w:rStyle w:val="Hyperlink"/>
            <w:lang w:val="en-GB"/>
          </w:rPr>
          <w:t>file:///C:/Users/Yaelf/Downloads/fimmu-11-572858.pdf</w:t>
        </w:r>
      </w:hyperlink>
    </w:p>
    <w:p w14:paraId="7E921DB6" w14:textId="77777777" w:rsidR="001870DD" w:rsidRDefault="001870DD" w:rsidP="001870DD">
      <w:pPr>
        <w:rPr>
          <w:lang w:val="en-GB"/>
        </w:rPr>
      </w:pPr>
    </w:p>
    <w:p w14:paraId="468AB9E4" w14:textId="77777777" w:rsidR="001870DD" w:rsidRDefault="001870DD" w:rsidP="001870DD">
      <w:pPr>
        <w:rPr>
          <w:lang w:val="en-GB"/>
        </w:rPr>
      </w:pPr>
      <w:r w:rsidRPr="00953871">
        <w:rPr>
          <w:highlight w:val="yellow"/>
          <w:lang w:val="en-GB"/>
        </w:rPr>
        <w:t>Upregulation of receptors</w:t>
      </w:r>
    </w:p>
    <w:p w14:paraId="530A3386" w14:textId="77777777" w:rsidR="001870DD" w:rsidRDefault="001870DD" w:rsidP="001870DD">
      <w:pPr>
        <w:rPr>
          <w:lang w:val="en-GB"/>
        </w:rPr>
      </w:pPr>
      <w:r w:rsidRPr="00953871">
        <w:rPr>
          <w:lang w:val="en-GB"/>
        </w:rPr>
        <w:t xml:space="preserve">T lymphocytes play an essential role in RA and their activation not only requires recognition of specific antigenic peptides by the T-cell receptor (TCR), but also the co-stimulatory signals provided by accessory surface molecules on T cells (3). CD28, a co-stimulatory receptor, is consecutively expressed on resting </w:t>
      </w:r>
      <w:proofErr w:type="spellStart"/>
      <w:r w:rsidRPr="00953871">
        <w:rPr>
          <w:lang w:val="en-GB"/>
        </w:rPr>
        <w:t>Tcells</w:t>
      </w:r>
      <w:proofErr w:type="spellEnd"/>
      <w:r w:rsidRPr="00953871">
        <w:rPr>
          <w:lang w:val="en-GB"/>
        </w:rPr>
        <w:t xml:space="preserve">. CTLA-4, a co-inhibitory receptor, is a member of the CD28 family expressed on the surface of T cells soon after its activation (3, 4). CD80 and CD86 (B7 molecules), mainly expressed on B cells, monocytes/macrophages, and dendritic cells, are the ligands of CD28 and CTLA-4, which are upregulated when activated. The binding of the ligands and CD28 promotes the activation of a TCR-stimulated T cell, while the binding of CTLA-4 causes the inhibition of T cell activation (5). CTLA-4 has higher affinity with CD80-CD86 than CD28, although it is homologous to CD28 (6). In a continuous immune response, the expression of CTLA-4 is upregulated to inhibit the proliferation of T-cell and reduce interleukin (IL)-2 production. For B7 molecules, the main function is to augment and sustain T-cell responses by interacting with CD28, while they can also provide inhibitory signals when binding with CTLA-4 (7). The immunological mechanism of T cell activation is illustrated in Figure 1. Lack of CTLA-4 </w:t>
      </w:r>
      <w:r w:rsidRPr="00953871">
        <w:rPr>
          <w:lang w:val="en-GB"/>
        </w:rPr>
        <w:lastRenderedPageBreak/>
        <w:t xml:space="preserve">will therefore cause severe lymphoproliferation and harmful destruction of multiorgan tissues, indicating that it plays </w:t>
      </w:r>
      <w:proofErr w:type="gramStart"/>
      <w:r w:rsidRPr="00953871">
        <w:rPr>
          <w:lang w:val="en-GB"/>
        </w:rPr>
        <w:t>an</w:t>
      </w:r>
      <w:proofErr w:type="gramEnd"/>
      <w:r w:rsidRPr="00953871">
        <w:rPr>
          <w:lang w:val="en-GB"/>
        </w:rPr>
        <w:t xml:space="preserve"> vital role in negative regulatory functions (8). Hence, changes in CTLA4 and CD86 genes have the potential to increase the immune response of autoreactive T-cells to self-antigens (9). In mouse experiments, Ewing et al. (10) confirmed that T-cell co-stimulation by connecting with CD28 and its negative regulator CTLA-4 played an important role in accelerating atherosclerosis development. </w:t>
      </w:r>
    </w:p>
    <w:p w14:paraId="49677166" w14:textId="77777777" w:rsidR="001870DD" w:rsidRDefault="001870DD" w:rsidP="001870DD">
      <w:pPr>
        <w:rPr>
          <w:lang w:val="en-GB"/>
        </w:rPr>
      </w:pPr>
    </w:p>
    <w:p w14:paraId="2076281A" w14:textId="77777777" w:rsidR="001870DD" w:rsidRDefault="001870DD" w:rsidP="001870DD">
      <w:r w:rsidRPr="00240B48">
        <w:t xml:space="preserve">Veranderingen in CTLA4- en CD86-genen hebben dus de potentie om de immuunrespons van </w:t>
      </w:r>
      <w:proofErr w:type="spellStart"/>
      <w:r w:rsidRPr="00240B48">
        <w:t>autoreactieve</w:t>
      </w:r>
      <w:proofErr w:type="spellEnd"/>
      <w:r w:rsidRPr="00240B48">
        <w:t xml:space="preserve"> T-cellen op zelfantigenen te verhogen</w:t>
      </w:r>
    </w:p>
    <w:p w14:paraId="6FED434F" w14:textId="77777777" w:rsidR="001870DD" w:rsidRDefault="001870DD" w:rsidP="001870DD">
      <w:pPr>
        <w:rPr>
          <w:lang w:val="en-GB"/>
        </w:rPr>
      </w:pPr>
      <w:hyperlink r:id="rId9" w:history="1">
        <w:r w:rsidRPr="00F60259">
          <w:rPr>
            <w:rStyle w:val="Hyperlink"/>
            <w:lang w:val="en-GB"/>
          </w:rPr>
          <w:t>file:///C:/Users/Yaelf/Downloads/fmed-08-598076.pdf</w:t>
        </w:r>
      </w:hyperlink>
    </w:p>
    <w:p w14:paraId="7C3C340B" w14:textId="77777777" w:rsidR="001870DD" w:rsidRPr="00261996" w:rsidRDefault="001870DD" w:rsidP="001870DD">
      <w:pPr>
        <w:rPr>
          <w:lang w:val="en-GB"/>
        </w:rPr>
      </w:pPr>
    </w:p>
    <w:p w14:paraId="2CA57E10" w14:textId="77777777" w:rsidR="001870DD" w:rsidRPr="00240B48" w:rsidRDefault="001870DD" w:rsidP="001870DD">
      <w:pPr>
        <w:rPr>
          <w:lang w:val="en-GB"/>
        </w:rPr>
      </w:pPr>
    </w:p>
    <w:p w14:paraId="63E1ED39" w14:textId="77777777" w:rsidR="001870DD" w:rsidRPr="00240B48" w:rsidRDefault="001870DD" w:rsidP="001870DD">
      <w:pPr>
        <w:rPr>
          <w:lang w:val="en-GB"/>
        </w:rPr>
      </w:pPr>
    </w:p>
    <w:p w14:paraId="6D56937F" w14:textId="77777777" w:rsidR="001870DD" w:rsidRDefault="001870DD" w:rsidP="001870DD">
      <w:pPr>
        <w:rPr>
          <w:b/>
          <w:bCs/>
          <w:lang w:val="en-GB"/>
        </w:rPr>
      </w:pPr>
      <w:r w:rsidRPr="00F33944">
        <w:rPr>
          <w:b/>
          <w:bCs/>
          <w:highlight w:val="yellow"/>
          <w:lang w:val="en-GB"/>
        </w:rPr>
        <w:t>Upregulation of dendritic cells</w:t>
      </w:r>
    </w:p>
    <w:p w14:paraId="2D656FA4" w14:textId="77777777" w:rsidR="001870DD" w:rsidRPr="00F33944" w:rsidRDefault="001870DD" w:rsidP="001870DD">
      <w:pPr>
        <w:rPr>
          <w:lang w:val="en-GB"/>
        </w:rPr>
      </w:pPr>
      <w:r w:rsidRPr="00F33944">
        <w:rPr>
          <w:lang w:val="en-GB"/>
        </w:rPr>
        <w:t xml:space="preserve">Dendritic cells (DCs) are the key professional antigen-presenting cells (APCs) for T cell priming. They also play a major role in immune tolerance. DCs discriminate between self- and non-self-antigens </w:t>
      </w:r>
      <w:proofErr w:type="gramStart"/>
      <w:r w:rsidRPr="00F33944">
        <w:rPr>
          <w:lang w:val="en-GB"/>
        </w:rPr>
        <w:t>on the basis of</w:t>
      </w:r>
      <w:proofErr w:type="gramEnd"/>
      <w:r w:rsidRPr="00F33944">
        <w:rPr>
          <w:lang w:val="en-GB"/>
        </w:rPr>
        <w:t xml:space="preserve"> associated innate immune activating or suppressive signals, after which DC antigen uptake and presentation promotes T cell activation or regulation. DCs and T cells collaborate in the pathogenesis of RA, particularly through the presentation of antigen that triggers the differentiation of autoreactive T cells, as well as innate immune effector functions.</w:t>
      </w:r>
    </w:p>
    <w:p w14:paraId="2778ADD6" w14:textId="77777777" w:rsidR="001870DD" w:rsidRPr="00F33944" w:rsidRDefault="001870DD" w:rsidP="001870DD">
      <w:pPr>
        <w:rPr>
          <w:lang w:val="en-GB"/>
        </w:rPr>
      </w:pPr>
      <w:r w:rsidRPr="00F33944">
        <w:rPr>
          <w:lang w:val="en-GB"/>
        </w:rPr>
        <w:t>Based on human and rodent model evidence, we propose a working model of RA, where autoantigen-specific CD4+ T cells, including follicular helper T cells (</w:t>
      </w:r>
      <w:proofErr w:type="spellStart"/>
      <w:r w:rsidRPr="00F33944">
        <w:rPr>
          <w:lang w:val="en-GB"/>
        </w:rPr>
        <w:t>Tfh</w:t>
      </w:r>
      <w:proofErr w:type="spellEnd"/>
      <w:r w:rsidRPr="00F33944">
        <w:rPr>
          <w:lang w:val="en-GB"/>
        </w:rPr>
        <w:t xml:space="preserve">), are primed by major histocompatibility complex (MHC) class II+ DCs exposed to environmental inflammatory factors that enhance their maturation, as well as generation and presentation of neoepitopes. Autoreactive and potentially cross-reactive </w:t>
      </w:r>
      <w:proofErr w:type="spellStart"/>
      <w:r w:rsidRPr="00F33944">
        <w:rPr>
          <w:lang w:val="en-GB"/>
        </w:rPr>
        <w:t>Tfh</w:t>
      </w:r>
      <w:proofErr w:type="spellEnd"/>
      <w:r w:rsidRPr="00F33944">
        <w:rPr>
          <w:lang w:val="en-GB"/>
        </w:rPr>
        <w:t xml:space="preserve"> propagate autoimmune arthritis through activation of B cells with genetic tolerance defects, followed by germinal centre formation and affinity maturation and glycosylation of autoantibodies, which contribute to the effector phase of the disease through innate mechanisms. Although partially regulated, the autoimmune response persists due to ongoing stimulation of autoreactive T cell clones by a variety of synovial MHC class II+ APCs and draining lymph node (</w:t>
      </w:r>
      <w:proofErr w:type="spellStart"/>
      <w:r w:rsidRPr="00F33944">
        <w:rPr>
          <w:lang w:val="en-GB"/>
        </w:rPr>
        <w:t>dLN</w:t>
      </w:r>
      <w:proofErr w:type="spellEnd"/>
      <w:r w:rsidRPr="00F33944">
        <w:rPr>
          <w:lang w:val="en-GB"/>
        </w:rPr>
        <w:t>) DCs (Fig. 1). This paper reviews the evidence for the contribution of DCs and T cells to this model.</w:t>
      </w:r>
    </w:p>
    <w:p w14:paraId="5BB1BA9D" w14:textId="77777777" w:rsidR="001870DD" w:rsidRDefault="001870DD" w:rsidP="001870DD">
      <w:pPr>
        <w:rPr>
          <w:lang w:val="en-GB"/>
        </w:rPr>
      </w:pPr>
      <w:r w:rsidRPr="00F33944">
        <w:rPr>
          <w:lang w:val="en-GB"/>
        </w:rPr>
        <w:t xml:space="preserve">In RA, DCs are thought to drive the activation of self-peptide-reactive inflammatory T cells, </w:t>
      </w:r>
      <w:proofErr w:type="spellStart"/>
      <w:r w:rsidRPr="00F33944">
        <w:rPr>
          <w:lang w:val="en-GB"/>
        </w:rPr>
        <w:t>Tfh</w:t>
      </w:r>
      <w:proofErr w:type="spellEnd"/>
      <w:r w:rsidRPr="00F33944">
        <w:rPr>
          <w:lang w:val="en-GB"/>
        </w:rPr>
        <w:t xml:space="preserve"> and consequently B cells for stimulating autoantibodies</w:t>
      </w:r>
    </w:p>
    <w:p w14:paraId="4C510B00" w14:textId="77777777" w:rsidR="001870DD" w:rsidRDefault="001870DD" w:rsidP="001870DD">
      <w:pPr>
        <w:rPr>
          <w:lang w:val="en-GB"/>
        </w:rPr>
      </w:pPr>
    </w:p>
    <w:p w14:paraId="5C1FE367" w14:textId="77777777" w:rsidR="001870DD" w:rsidRDefault="001870DD" w:rsidP="001870DD">
      <w:r w:rsidRPr="0025505D">
        <w:t xml:space="preserve">Hoewel gedeeltelijk gereguleerd, blijft de </w:t>
      </w:r>
      <w:proofErr w:type="spellStart"/>
      <w:r w:rsidRPr="0025505D">
        <w:t>autoimmuunrespons</w:t>
      </w:r>
      <w:proofErr w:type="spellEnd"/>
      <w:r w:rsidRPr="0025505D">
        <w:t xml:space="preserve"> bestaan door voortdurende stimulatie van </w:t>
      </w:r>
      <w:proofErr w:type="spellStart"/>
      <w:r w:rsidRPr="0025505D">
        <w:t>autoreactieve</w:t>
      </w:r>
      <w:proofErr w:type="spellEnd"/>
      <w:r w:rsidRPr="0025505D">
        <w:t xml:space="preserve"> T </w:t>
      </w:r>
      <w:proofErr w:type="spellStart"/>
      <w:r w:rsidRPr="0025505D">
        <w:t>celklonen</w:t>
      </w:r>
      <w:proofErr w:type="spellEnd"/>
      <w:r w:rsidRPr="0025505D">
        <w:t xml:space="preserve"> door een verscheidenheid aan synoviale </w:t>
      </w:r>
      <w:proofErr w:type="gramStart"/>
      <w:r w:rsidRPr="0025505D">
        <w:t>MHC klasse</w:t>
      </w:r>
      <w:proofErr w:type="gramEnd"/>
      <w:r w:rsidRPr="0025505D">
        <w:t xml:space="preserve"> II+ </w:t>
      </w:r>
      <w:proofErr w:type="spellStart"/>
      <w:r w:rsidRPr="0025505D">
        <w:t>APC's</w:t>
      </w:r>
      <w:proofErr w:type="spellEnd"/>
    </w:p>
    <w:p w14:paraId="4E63CF8B" w14:textId="77777777" w:rsidR="001870DD" w:rsidRDefault="001870DD" w:rsidP="001870DD">
      <w:r w:rsidRPr="00240B48">
        <w:t>RA voor, waarin auto-antigeen-specifieke CD4+ T-cellen, waaronder folliculaire helper T-cellen (</w:t>
      </w:r>
      <w:proofErr w:type="spellStart"/>
      <w:r w:rsidRPr="00240B48">
        <w:t>Tfh</w:t>
      </w:r>
      <w:proofErr w:type="spellEnd"/>
      <w:r w:rsidRPr="00240B48">
        <w:t xml:space="preserve">), worden geactiveerd door het major </w:t>
      </w:r>
      <w:proofErr w:type="spellStart"/>
      <w:r w:rsidRPr="00240B48">
        <w:t>histocompatibility</w:t>
      </w:r>
      <w:proofErr w:type="spellEnd"/>
      <w:r w:rsidRPr="00240B48">
        <w:t xml:space="preserve"> complex (MHC) klasse II+ </w:t>
      </w:r>
      <w:proofErr w:type="spellStart"/>
      <w:r w:rsidRPr="00240B48">
        <w:t>DC's</w:t>
      </w:r>
      <w:proofErr w:type="spellEnd"/>
      <w:r w:rsidRPr="00240B48">
        <w:t xml:space="preserve"> die worden blootgesteld aan ontstekingsfactoren in de omgeving die hun </w:t>
      </w:r>
      <w:proofErr w:type="spellStart"/>
      <w:r w:rsidRPr="00240B48">
        <w:t>maturatie</w:t>
      </w:r>
      <w:proofErr w:type="spellEnd"/>
      <w:r w:rsidRPr="00240B48">
        <w:t xml:space="preserve"> versterken,</w:t>
      </w:r>
    </w:p>
    <w:p w14:paraId="661DDB44" w14:textId="77777777" w:rsidR="001870DD" w:rsidRDefault="001870DD" w:rsidP="001870DD"/>
    <w:p w14:paraId="22719C64" w14:textId="77777777" w:rsidR="001870DD" w:rsidRDefault="001870DD" w:rsidP="001870DD">
      <w:pPr>
        <w:rPr>
          <w:lang w:val="en-GB"/>
        </w:rPr>
      </w:pPr>
      <w:r w:rsidRPr="00261996">
        <w:rPr>
          <w:lang w:val="en-GB"/>
        </w:rPr>
        <w:t>In RA, CD4+ T cells stimulate macrophages, synovial fibroblasts, and chondrocytes to yield proinflammatory cytokines (mainly interleukin (IL)1</w:t>
      </w:r>
      <w:r w:rsidRPr="00261996">
        <w:t>β</w:t>
      </w:r>
      <w:r w:rsidRPr="00261996">
        <w:rPr>
          <w:lang w:val="en-GB"/>
        </w:rPr>
        <w:t xml:space="preserve">, IL-6, and </w:t>
      </w:r>
      <w:proofErr w:type="spellStart"/>
      <w:r w:rsidRPr="00261996">
        <w:rPr>
          <w:lang w:val="en-GB"/>
        </w:rPr>
        <w:t>tumor</w:t>
      </w:r>
      <w:proofErr w:type="spellEnd"/>
      <w:r w:rsidRPr="00261996">
        <w:rPr>
          <w:lang w:val="en-GB"/>
        </w:rPr>
        <w:t xml:space="preserve"> necrosis factor alpha (TNFA)) and activate B lymphocytes. They also stimulate </w:t>
      </w:r>
      <w:proofErr w:type="spellStart"/>
      <w:r w:rsidRPr="00261996">
        <w:rPr>
          <w:lang w:val="en-GB"/>
        </w:rPr>
        <w:t>osteoclastogenesis</w:t>
      </w:r>
      <w:proofErr w:type="spellEnd"/>
      <w:r w:rsidRPr="00261996">
        <w:rPr>
          <w:lang w:val="en-GB"/>
        </w:rPr>
        <w:t xml:space="preserve"> in the bone. Ultimately, these cells lead to joint destruction and progression in RA. 4 In RA, Th1 cells and their cytokines, especially interferon-gamma (IFNG), effectively induce and perpetuate chronic inflammation and tissue destruction.</w:t>
      </w:r>
    </w:p>
    <w:p w14:paraId="7B897640" w14:textId="77777777" w:rsidR="001870DD" w:rsidRDefault="001870DD" w:rsidP="001870DD">
      <w:pPr>
        <w:rPr>
          <w:lang w:val="en-GB"/>
        </w:rPr>
      </w:pPr>
      <w:hyperlink r:id="rId10" w:history="1">
        <w:r w:rsidRPr="00F60259">
          <w:rPr>
            <w:rStyle w:val="Hyperlink"/>
            <w:lang w:val="en-GB"/>
          </w:rPr>
          <w:t>file:///C:/Users/Yaelf/Downloads/12679-Article%20Text-14103-2-10-20230522.pdf</w:t>
        </w:r>
      </w:hyperlink>
    </w:p>
    <w:p w14:paraId="22F187D7" w14:textId="68865D33" w:rsidR="00A5687E" w:rsidRDefault="00A5687E">
      <w:pPr>
        <w:rPr>
          <w:lang w:val="en-GB"/>
        </w:rPr>
      </w:pPr>
    </w:p>
    <w:p w14:paraId="5B6F715C" w14:textId="720B2A5B" w:rsidR="00181EFD" w:rsidRPr="003A6CD4" w:rsidRDefault="001F05E8" w:rsidP="00181EFD">
      <w:pPr>
        <w:rPr>
          <w:b/>
          <w:bCs/>
          <w:lang w:val="en-US"/>
        </w:rPr>
      </w:pPr>
      <w:r w:rsidRPr="003A6CD4">
        <w:rPr>
          <w:b/>
          <w:bCs/>
          <w:lang w:val="en-US"/>
        </w:rPr>
        <w:t xml:space="preserve">downregulated </w:t>
      </w:r>
    </w:p>
    <w:p w14:paraId="5D5CB5BB" w14:textId="77777777" w:rsidR="00181EFD" w:rsidRPr="00181EFD" w:rsidRDefault="00181EFD" w:rsidP="00181EFD">
      <w:pPr>
        <w:rPr>
          <w:b/>
          <w:bCs/>
          <w:lang w:val="en-GB"/>
        </w:rPr>
      </w:pPr>
      <w:r w:rsidRPr="001F5BF9">
        <w:rPr>
          <w:b/>
          <w:bCs/>
          <w:i/>
          <w:iCs/>
          <w:lang w:val="en-GB"/>
        </w:rPr>
        <w:t>MT-ND6</w:t>
      </w:r>
    </w:p>
    <w:p w14:paraId="48B4A292" w14:textId="77777777" w:rsidR="00181EFD" w:rsidRPr="00181EFD" w:rsidRDefault="00181EFD" w:rsidP="00181EFD">
      <w:pPr>
        <w:rPr>
          <w:lang w:val="en-GB"/>
        </w:rPr>
      </w:pPr>
      <w:r w:rsidRPr="001F5BF9">
        <w:rPr>
          <w:lang w:val="en-GB"/>
        </w:rPr>
        <w:t>Enables NADH dehydrogenase (ubiquinone) activity. Involved in mitochondrial electron transport, NADH to ubiquinone and mitochondrial respiratory chain complex I assembly.</w:t>
      </w:r>
      <w:r>
        <w:rPr>
          <w:lang w:val="en-GB"/>
        </w:rPr>
        <w:t xml:space="preserve"> </w:t>
      </w:r>
      <w:hyperlink r:id="rId11" w:history="1">
        <w:r w:rsidRPr="00F60259">
          <w:rPr>
            <w:rStyle w:val="Hyperlink"/>
            <w:lang w:val="en-GB"/>
          </w:rPr>
          <w:t>https://www.ncbi.nlm.nih.gov/gtr/genes/4541/</w:t>
        </w:r>
      </w:hyperlink>
    </w:p>
    <w:p w14:paraId="54CD9A7F" w14:textId="77777777" w:rsidR="00181EFD" w:rsidRPr="00994316" w:rsidRDefault="00181EFD" w:rsidP="00181EFD">
      <w:pPr>
        <w:rPr>
          <w:b/>
          <w:bCs/>
          <w:lang w:val="en-GB"/>
        </w:rPr>
      </w:pPr>
      <w:r w:rsidRPr="00994316">
        <w:rPr>
          <w:b/>
          <w:bCs/>
          <w:lang w:val="en-GB"/>
        </w:rPr>
        <w:t>SLC9A3R2</w:t>
      </w:r>
    </w:p>
    <w:p w14:paraId="6EACE3B5" w14:textId="77777777" w:rsidR="00181EFD" w:rsidRDefault="00181EFD" w:rsidP="00181EFD">
      <w:pPr>
        <w:rPr>
          <w:lang w:val="en-GB"/>
        </w:rPr>
      </w:pPr>
      <w:r w:rsidRPr="00994316">
        <w:rPr>
          <w:lang w:val="en-GB"/>
        </w:rPr>
        <w:t>SLC9A3R1, and SLC9A3R2 are related to inflammation and arthritis strengthens our findings that these proteins reflect the arthritic process. SLC9A3R2 is a negative regulator of endothelial proliferation (33), and SLC9A3R1 is involved in the positive regulation of NF-kB in vascular inflammation and in the IL-6 production in human smooth muscle cells (34). SLC9A3R1 and SLC9A3R2 connect plasma membrane proteins with members of the ezrin/</w:t>
      </w:r>
      <w:proofErr w:type="spellStart"/>
      <w:r w:rsidRPr="00994316">
        <w:rPr>
          <w:lang w:val="en-GB"/>
        </w:rPr>
        <w:t>moesin</w:t>
      </w:r>
      <w:proofErr w:type="spellEnd"/>
      <w:r w:rsidRPr="00994316">
        <w:rPr>
          <w:lang w:val="en-GB"/>
        </w:rPr>
        <w:t xml:space="preserve">/radixin family, thereby helping to link them to the actin cytoskeleton and to regulate their surface expression. This may also explain the high degree of discordance between PGA-VAS and physician global assessment of RA (35), as, for example, muscle function is not included in the clinical assessment of RA </w:t>
      </w:r>
      <w:hyperlink r:id="rId12" w:history="1">
        <w:r w:rsidRPr="00F60259">
          <w:rPr>
            <w:rStyle w:val="Hyperlink"/>
            <w:lang w:val="en-GB"/>
          </w:rPr>
          <w:t>file:///C:/Users/Yaelf/Downloads/fmed-10-1247778.pdf</w:t>
        </w:r>
      </w:hyperlink>
    </w:p>
    <w:p w14:paraId="79A89455" w14:textId="77777777" w:rsidR="00181EFD" w:rsidRPr="00E33CBB" w:rsidRDefault="00181EFD" w:rsidP="00181EFD">
      <w:pPr>
        <w:rPr>
          <w:b/>
          <w:bCs/>
          <w:lang w:val="en-GB"/>
        </w:rPr>
      </w:pPr>
      <w:r w:rsidRPr="00E33CBB">
        <w:rPr>
          <w:b/>
          <w:bCs/>
          <w:lang w:val="en-GB"/>
        </w:rPr>
        <w:t>ZNF598</w:t>
      </w:r>
    </w:p>
    <w:p w14:paraId="534F6B34" w14:textId="77777777" w:rsidR="00181EFD" w:rsidRDefault="00181EFD" w:rsidP="00181EFD">
      <w:pPr>
        <w:rPr>
          <w:lang w:val="en-GB"/>
        </w:rPr>
      </w:pPr>
      <w:r w:rsidRPr="00E33CBB">
        <w:rPr>
          <w:lang w:val="en-GB"/>
        </w:rPr>
        <w:t>Increased ribosome stalling raises the chance of ribosome collision, which triggers various ribosome quality control (RQC) pathways. This involves the activation of the ribosome-associated E3 ligase ZNF598, which ubiquitinates small subunit proteins at the stalled ribosomes and recruits other RQC factors to dissociate the aberrant translation intermediates on the transcripts (</w:t>
      </w:r>
      <w:hyperlink r:id="rId13" w:anchor="R53" w:history="1">
        <w:r w:rsidRPr="00E33CBB">
          <w:rPr>
            <w:rStyle w:val="Hyperlink"/>
            <w:lang w:val="en-GB"/>
          </w:rPr>
          <w:t>53</w:t>
        </w:r>
      </w:hyperlink>
      <w:r w:rsidRPr="00E33CBB">
        <w:rPr>
          <w:lang w:val="en-GB"/>
        </w:rPr>
        <w:t>, </w:t>
      </w:r>
      <w:hyperlink r:id="rId14" w:anchor="R54" w:history="1">
        <w:r w:rsidRPr="00E33CBB">
          <w:rPr>
            <w:rStyle w:val="Hyperlink"/>
            <w:lang w:val="en-GB"/>
          </w:rPr>
          <w:t>54</w:t>
        </w:r>
      </w:hyperlink>
      <w:r w:rsidRPr="00E33CBB">
        <w:rPr>
          <w:lang w:val="en-GB"/>
        </w:rPr>
        <w:t xml:space="preserve">). If not resolved, the prolonged stalling will induce global stress response </w:t>
      </w:r>
      <w:proofErr w:type="spellStart"/>
      <w:r w:rsidRPr="00E33CBB">
        <w:rPr>
          <w:lang w:val="en-GB"/>
        </w:rPr>
        <w:t>signaling</w:t>
      </w:r>
      <w:proofErr w:type="spellEnd"/>
      <w:r w:rsidRPr="00E33CBB">
        <w:rPr>
          <w:lang w:val="en-GB"/>
        </w:rPr>
        <w:t xml:space="preserve"> pathways</w:t>
      </w:r>
      <w:r>
        <w:rPr>
          <w:lang w:val="en-GB"/>
        </w:rPr>
        <w:t xml:space="preserve"> </w:t>
      </w:r>
      <w:hyperlink r:id="rId15" w:history="1">
        <w:r w:rsidRPr="00F60259">
          <w:rPr>
            <w:rStyle w:val="Hyperlink"/>
            <w:lang w:val="en-GB"/>
          </w:rPr>
          <w:t>https://pmc.ncbi.nlm.nih.gov/articles/PMC11466505/</w:t>
        </w:r>
      </w:hyperlink>
    </w:p>
    <w:p w14:paraId="7153217C" w14:textId="77777777" w:rsidR="001F05E8" w:rsidRPr="001F05E8" w:rsidRDefault="001F05E8" w:rsidP="001F05E8">
      <w:pPr>
        <w:rPr>
          <w:b/>
          <w:bCs/>
          <w:lang w:val="en-GB"/>
        </w:rPr>
      </w:pPr>
      <w:proofErr w:type="spellStart"/>
      <w:r w:rsidRPr="001F05E8">
        <w:rPr>
          <w:b/>
          <w:bCs/>
          <w:lang w:val="en-GB"/>
        </w:rPr>
        <w:t>Uprgulated</w:t>
      </w:r>
      <w:proofErr w:type="spellEnd"/>
    </w:p>
    <w:p w14:paraId="1D388870" w14:textId="77777777" w:rsidR="001F05E8" w:rsidRPr="001F05E8" w:rsidRDefault="001F05E8" w:rsidP="001F05E8">
      <w:pPr>
        <w:rPr>
          <w:b/>
          <w:bCs/>
          <w:lang w:val="en-GB"/>
        </w:rPr>
      </w:pPr>
      <w:r w:rsidRPr="001F05E8">
        <w:rPr>
          <w:b/>
          <w:bCs/>
          <w:lang w:val="en-GB"/>
        </w:rPr>
        <w:t>SRGN</w:t>
      </w:r>
    </w:p>
    <w:p w14:paraId="1CD6FAF2" w14:textId="77777777" w:rsidR="001F05E8" w:rsidRDefault="001F05E8" w:rsidP="001F05E8">
      <w:pPr>
        <w:rPr>
          <w:lang w:val="en-GB"/>
        </w:rPr>
      </w:pPr>
      <w:r w:rsidRPr="00B32847">
        <w:rPr>
          <w:lang w:val="en-GB"/>
        </w:rPr>
        <w:t xml:space="preserve">SRGN encodes the proteoglycan </w:t>
      </w:r>
      <w:proofErr w:type="gramStart"/>
      <w:r w:rsidRPr="00B32847">
        <w:rPr>
          <w:lang w:val="en-GB"/>
        </w:rPr>
        <w:t>protein, and</w:t>
      </w:r>
      <w:proofErr w:type="gramEnd"/>
      <w:r w:rsidRPr="00B32847">
        <w:rPr>
          <w:lang w:val="en-GB"/>
        </w:rPr>
        <w:t xml:space="preserve"> is mainly expressed in hematopoietic cells. Many studies have confirmed that SRGN promotes </w:t>
      </w:r>
      <w:proofErr w:type="spellStart"/>
      <w:r w:rsidRPr="00B32847">
        <w:rPr>
          <w:lang w:val="en-GB"/>
        </w:rPr>
        <w:t>tumor</w:t>
      </w:r>
      <w:proofErr w:type="spellEnd"/>
      <w:r w:rsidRPr="00B32847">
        <w:rPr>
          <w:lang w:val="en-GB"/>
        </w:rPr>
        <w:t xml:space="preserve"> invasion and metastasis in colorectal cancer, non-small cell lung cancers, multiple myeloma, nasopharyngeal carcinoma, and breast cancer (Li et al., 2011; </w:t>
      </w:r>
      <w:proofErr w:type="spellStart"/>
      <w:r w:rsidRPr="00B32847">
        <w:rPr>
          <w:lang w:val="en-GB"/>
        </w:rPr>
        <w:t>Korpetinou</w:t>
      </w:r>
      <w:proofErr w:type="spellEnd"/>
      <w:r w:rsidRPr="00B32847">
        <w:rPr>
          <w:lang w:val="en-GB"/>
        </w:rPr>
        <w:t xml:space="preserve"> et al., 2013; Purushothaman and Toole, 2014; Guo et al., 2017; Xu et al., 2018). SRGN is also involved in inflammatory processes through the regulation of numerous inflammatory mediators such as TNF-</w:t>
      </w:r>
      <w:proofErr w:type="gramStart"/>
      <w:r w:rsidRPr="00B32847">
        <w:t>α</w:t>
      </w:r>
      <w:r w:rsidRPr="00B32847">
        <w:rPr>
          <w:lang w:val="en-GB"/>
        </w:rPr>
        <w:t>, and</w:t>
      </w:r>
      <w:proofErr w:type="gramEnd"/>
      <w:r w:rsidRPr="00B32847">
        <w:rPr>
          <w:lang w:val="en-GB"/>
        </w:rPr>
        <w:t xml:space="preserve"> activating the NF-</w:t>
      </w:r>
      <w:r w:rsidRPr="00B32847">
        <w:t>κ</w:t>
      </w:r>
      <w:r w:rsidRPr="00B32847">
        <w:rPr>
          <w:lang w:val="en-GB"/>
        </w:rPr>
        <w:t xml:space="preserve">B </w:t>
      </w:r>
      <w:proofErr w:type="spellStart"/>
      <w:r w:rsidRPr="00B32847">
        <w:rPr>
          <w:lang w:val="en-GB"/>
        </w:rPr>
        <w:t>signaling</w:t>
      </w:r>
      <w:proofErr w:type="spellEnd"/>
      <w:r w:rsidRPr="00B32847">
        <w:rPr>
          <w:lang w:val="en-GB"/>
        </w:rPr>
        <w:t xml:space="preserve"> pathway (Zernichow et al., 2006; </w:t>
      </w:r>
      <w:proofErr w:type="spellStart"/>
      <w:r w:rsidRPr="00B32847">
        <w:rPr>
          <w:lang w:val="en-GB"/>
        </w:rPr>
        <w:t>Korpetinou</w:t>
      </w:r>
      <w:proofErr w:type="spellEnd"/>
      <w:r w:rsidRPr="00B32847">
        <w:rPr>
          <w:lang w:val="en-GB"/>
        </w:rPr>
        <w:t xml:space="preserve"> et al., 2014; </w:t>
      </w:r>
      <w:proofErr w:type="spellStart"/>
      <w:r w:rsidRPr="00B32847">
        <w:rPr>
          <w:lang w:val="en-GB"/>
        </w:rPr>
        <w:t>Scuruchi</w:t>
      </w:r>
      <w:proofErr w:type="spellEnd"/>
      <w:r w:rsidRPr="00B32847">
        <w:rPr>
          <w:lang w:val="en-GB"/>
        </w:rPr>
        <w:t xml:space="preserve"> et al., 2019). These processes caused by the combination of SRGN and CD44 receptor, could promote inflammation</w:t>
      </w:r>
    </w:p>
    <w:p w14:paraId="7E65C99C" w14:textId="77777777" w:rsidR="001F05E8" w:rsidRPr="001F05E8" w:rsidRDefault="001F05E8" w:rsidP="001F05E8">
      <w:pPr>
        <w:rPr>
          <w:lang w:val="en-GB"/>
        </w:rPr>
      </w:pPr>
      <w:hyperlink r:id="rId16" w:history="1">
        <w:r w:rsidRPr="00B778F8">
          <w:rPr>
            <w:rStyle w:val="Hyperlink"/>
            <w:lang w:val="en-GB"/>
          </w:rPr>
          <w:t>file:///C:/Users/Yaelf/Downloads/fgene-11-572194%20(1).pdf</w:t>
        </w:r>
      </w:hyperlink>
    </w:p>
    <w:p w14:paraId="21F4729D" w14:textId="77777777" w:rsidR="001F05E8" w:rsidRPr="001F05E8" w:rsidRDefault="001F05E8" w:rsidP="001F05E8">
      <w:pPr>
        <w:rPr>
          <w:b/>
          <w:bCs/>
          <w:lang w:val="en-GB"/>
        </w:rPr>
      </w:pPr>
      <w:r w:rsidRPr="001F05E8">
        <w:rPr>
          <w:b/>
          <w:bCs/>
          <w:lang w:val="en-GB"/>
        </w:rPr>
        <w:t>BCL2A1</w:t>
      </w:r>
    </w:p>
    <w:p w14:paraId="39DDBE23" w14:textId="77777777" w:rsidR="001F05E8" w:rsidRPr="00725DD8" w:rsidRDefault="001F05E8" w:rsidP="001F05E8">
      <w:pPr>
        <w:rPr>
          <w:lang w:val="en-GB"/>
        </w:rPr>
      </w:pPr>
      <w:r w:rsidRPr="00725DD8">
        <w:rPr>
          <w:lang w:val="en-GB"/>
        </w:rPr>
        <w:t>BCL2A1 is a member of the BCL-2 family of anti-apoptotic proteins and one of the less well-studied anti-apoptotic</w:t>
      </w:r>
      <w:r>
        <w:rPr>
          <w:lang w:val="en-GB"/>
        </w:rPr>
        <w:t xml:space="preserve"> </w:t>
      </w:r>
      <w:r w:rsidRPr="00725DD8">
        <w:rPr>
          <w:lang w:val="en-GB"/>
        </w:rPr>
        <w:t>BCL2 proteins</w:t>
      </w:r>
      <w:r>
        <w:rPr>
          <w:lang w:val="en-GB"/>
        </w:rPr>
        <w:t xml:space="preserve"> </w:t>
      </w:r>
      <w:r w:rsidRPr="00725DD8">
        <w:rPr>
          <w:lang w:val="en-GB"/>
        </w:rPr>
        <w:sym w:font="Wingdings" w:char="F0E0"/>
      </w:r>
      <w:r>
        <w:rPr>
          <w:lang w:val="en-GB"/>
        </w:rPr>
        <w:t xml:space="preserve"> </w:t>
      </w:r>
      <w:proofErr w:type="spellStart"/>
      <w:r>
        <w:rPr>
          <w:lang w:val="en-GB"/>
        </w:rPr>
        <w:t>stoppen</w:t>
      </w:r>
      <w:proofErr w:type="spellEnd"/>
      <w:r>
        <w:rPr>
          <w:lang w:val="en-GB"/>
        </w:rPr>
        <w:t xml:space="preserve"> </w:t>
      </w:r>
      <w:proofErr w:type="spellStart"/>
      <w:r>
        <w:rPr>
          <w:lang w:val="en-GB"/>
        </w:rPr>
        <w:t>apoptose</w:t>
      </w:r>
      <w:proofErr w:type="spellEnd"/>
      <w:r>
        <w:rPr>
          <w:lang w:val="en-GB"/>
        </w:rPr>
        <w:t xml:space="preserve"> </w:t>
      </w:r>
      <w:proofErr w:type="spellStart"/>
      <w:r>
        <w:rPr>
          <w:lang w:val="en-GB"/>
        </w:rPr>
        <w:t>waardoor</w:t>
      </w:r>
      <w:proofErr w:type="spellEnd"/>
      <w:r>
        <w:rPr>
          <w:lang w:val="en-GB"/>
        </w:rPr>
        <w:t xml:space="preserve"> </w:t>
      </w:r>
      <w:proofErr w:type="spellStart"/>
      <w:r>
        <w:rPr>
          <w:lang w:val="en-GB"/>
        </w:rPr>
        <w:t>schadelike</w:t>
      </w:r>
      <w:proofErr w:type="spellEnd"/>
      <w:r>
        <w:rPr>
          <w:lang w:val="en-GB"/>
        </w:rPr>
        <w:t xml:space="preserve"> </w:t>
      </w:r>
      <w:proofErr w:type="spellStart"/>
      <w:r>
        <w:rPr>
          <w:lang w:val="en-GB"/>
        </w:rPr>
        <w:t>cellen</w:t>
      </w:r>
      <w:proofErr w:type="spellEnd"/>
      <w:r>
        <w:rPr>
          <w:lang w:val="en-GB"/>
        </w:rPr>
        <w:t xml:space="preserve"> langer </w:t>
      </w:r>
      <w:proofErr w:type="spellStart"/>
      <w:r>
        <w:rPr>
          <w:lang w:val="en-GB"/>
        </w:rPr>
        <w:t>leven</w:t>
      </w:r>
      <w:proofErr w:type="spellEnd"/>
    </w:p>
    <w:p w14:paraId="0AD41B09" w14:textId="77777777" w:rsidR="001F05E8" w:rsidRDefault="001F05E8" w:rsidP="001F05E8">
      <w:pPr>
        <w:rPr>
          <w:lang w:val="en-GB"/>
        </w:rPr>
      </w:pPr>
      <w:hyperlink r:id="rId17" w:history="1">
        <w:r w:rsidRPr="00F60259">
          <w:rPr>
            <w:rStyle w:val="Hyperlink"/>
            <w:lang w:val="en-GB"/>
          </w:rPr>
          <w:t>https://pmc.ncbi.nlm.nih.gov/articles/PMC10637801/pdf/aging-15-205149.pdf</w:t>
        </w:r>
      </w:hyperlink>
    </w:p>
    <w:p w14:paraId="5A932E98" w14:textId="77777777" w:rsidR="00181EFD" w:rsidRDefault="00181EFD">
      <w:pPr>
        <w:rPr>
          <w:lang w:val="en-GB"/>
        </w:rPr>
      </w:pPr>
    </w:p>
    <w:p w14:paraId="69EAABA4" w14:textId="77777777" w:rsidR="00510251" w:rsidRDefault="00510251">
      <w:pPr>
        <w:rPr>
          <w:lang w:val="en-GB"/>
        </w:rPr>
      </w:pPr>
    </w:p>
    <w:p w14:paraId="73760F5B" w14:textId="77777777" w:rsidR="00510251" w:rsidRPr="003A6CD4" w:rsidRDefault="00510251" w:rsidP="00510251">
      <w:pPr>
        <w:rPr>
          <w:lang w:val="en-US"/>
        </w:rPr>
      </w:pPr>
      <w:r w:rsidRPr="002F1A5B">
        <w:rPr>
          <w:lang w:val="en-GB"/>
        </w:rPr>
        <w:t>While various anti-rheumatic drugs have been established in recent years, 5 - 20% of RA patients have poor responses to those medications (6). The pathogenesis of RA is thought to involve a reduced tolerance of the autoimmune system resulting from genetic and environmental</w:t>
      </w:r>
      <w:r>
        <w:rPr>
          <w:lang w:val="en-GB"/>
        </w:rPr>
        <w:t xml:space="preserve">. </w:t>
      </w:r>
      <w:r w:rsidRPr="002F1A5B">
        <w:rPr>
          <w:lang w:val="en-GB"/>
        </w:rPr>
        <w:t xml:space="preserve">The role of dendritic cells and their immunometabolism in rheumatoid arthritis. Front. Immunol. 14:1161148. </w:t>
      </w:r>
      <w:proofErr w:type="spellStart"/>
      <w:r w:rsidRPr="002F1A5B">
        <w:rPr>
          <w:lang w:val="en-GB"/>
        </w:rPr>
        <w:t>doi</w:t>
      </w:r>
      <w:proofErr w:type="spellEnd"/>
      <w:r w:rsidRPr="002F1A5B">
        <w:rPr>
          <w:lang w:val="en-GB"/>
        </w:rPr>
        <w:t xml:space="preserve">: 10.3389/fimmu.2023.1161148 COPYRIGHT © 2023 </w:t>
      </w:r>
      <w:proofErr w:type="spellStart"/>
      <w:r w:rsidRPr="002F1A5B">
        <w:rPr>
          <w:lang w:val="en-GB"/>
        </w:rPr>
        <w:t>Suwa</w:t>
      </w:r>
      <w:proofErr w:type="spellEnd"/>
      <w:r w:rsidRPr="002F1A5B">
        <w:rPr>
          <w:lang w:val="en-GB"/>
        </w:rPr>
        <w:t xml:space="preserve">, </w:t>
      </w:r>
      <w:proofErr w:type="spellStart"/>
      <w:r w:rsidRPr="002F1A5B">
        <w:rPr>
          <w:lang w:val="en-GB"/>
        </w:rPr>
        <w:t>Nagafuchi</w:t>
      </w:r>
      <w:proofErr w:type="spellEnd"/>
      <w:r w:rsidRPr="002F1A5B">
        <w:rPr>
          <w:lang w:val="en-GB"/>
        </w:rPr>
        <w:t>, Yamada and Fujio. This is an open-access article distributed under the terms of the Creative Commons Attribution License (CC BY). The use, distribution or reproduction in other forums is permitted, provided the original author(s) and the copyright owner(s) are credited and that the original publication in this journal is cited, in accordance with accepted academic practice. No use, distribution or reproduction is permitted which does not comply with these terms. TYPE Mini Review PUBLISHED 12 May 2023 DOI 10.3389/fimmu.2023.1161148 backgrounds (7, 8). Synovitis in RA is induced by complex interaction of various cell types, including T and B lymphocytes involved in adaptive immunity, myeloid cells involved mainly in innate immunity, osteoclasts and synovial fibroblasts directly responsible for joint destruction. The complexity of disease pathogenesis is a primary cause of the difficulties in treatment (9– 11). Dendritic cells (DCs), a subtype of the myeloid lineage, could be related to the clinical treatment response in RA. Recently, we have reported that the proportion of precursor DCs (pre-DCs) in innate immunity, osteoclasts and synovial fibroblasts directly responsible for joint destruction.</w:t>
      </w:r>
      <w:r w:rsidRPr="001870DD">
        <w:rPr>
          <w:lang w:val="en-GB"/>
        </w:rPr>
        <w:t xml:space="preserve"> </w:t>
      </w:r>
      <w:hyperlink r:id="rId18" w:history="1">
        <w:r w:rsidRPr="003A6CD4">
          <w:rPr>
            <w:rStyle w:val="Hyperlink"/>
            <w:lang w:val="en-US"/>
          </w:rPr>
          <w:t>file:///C:/Users/Yaelf/Downloads/fimmu-14-1161148.pdf</w:t>
        </w:r>
      </w:hyperlink>
    </w:p>
    <w:p w14:paraId="0542EC76" w14:textId="77777777" w:rsidR="00510251" w:rsidRPr="006D13B2" w:rsidRDefault="00510251">
      <w:pPr>
        <w:rPr>
          <w:lang w:val="en-GB"/>
        </w:rPr>
      </w:pPr>
    </w:p>
    <w:sectPr w:rsidR="00510251" w:rsidRPr="006D13B2"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53448F"/>
    <w:multiLevelType w:val="hybridMultilevel"/>
    <w:tmpl w:val="BA525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31D52"/>
    <w:multiLevelType w:val="hybridMultilevel"/>
    <w:tmpl w:val="EBC6B2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CB7F2B"/>
    <w:multiLevelType w:val="hybridMultilevel"/>
    <w:tmpl w:val="6BC8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BBD4EF9"/>
    <w:multiLevelType w:val="hybridMultilevel"/>
    <w:tmpl w:val="1FDA2F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8327771">
    <w:abstractNumId w:val="3"/>
  </w:num>
  <w:num w:numId="2" w16cid:durableId="1225792723">
    <w:abstractNumId w:val="2"/>
  </w:num>
  <w:num w:numId="3" w16cid:durableId="208341360">
    <w:abstractNumId w:val="0"/>
  </w:num>
  <w:num w:numId="4" w16cid:durableId="2020619430">
    <w:abstractNumId w:val="4"/>
  </w:num>
  <w:num w:numId="5" w16cid:durableId="2121335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DF"/>
    <w:rsid w:val="00007181"/>
    <w:rsid w:val="000214E4"/>
    <w:rsid w:val="000443A9"/>
    <w:rsid w:val="00076574"/>
    <w:rsid w:val="00082FA6"/>
    <w:rsid w:val="001218EF"/>
    <w:rsid w:val="00181EFD"/>
    <w:rsid w:val="00182E49"/>
    <w:rsid w:val="001834E4"/>
    <w:rsid w:val="001861D7"/>
    <w:rsid w:val="001870DD"/>
    <w:rsid w:val="001B49C8"/>
    <w:rsid w:val="001C2174"/>
    <w:rsid w:val="001D027C"/>
    <w:rsid w:val="001E21EE"/>
    <w:rsid w:val="001F05E8"/>
    <w:rsid w:val="001F5BF9"/>
    <w:rsid w:val="002011F9"/>
    <w:rsid w:val="0020435E"/>
    <w:rsid w:val="002354F7"/>
    <w:rsid w:val="00240B48"/>
    <w:rsid w:val="0025505D"/>
    <w:rsid w:val="00261996"/>
    <w:rsid w:val="002625C7"/>
    <w:rsid w:val="00277778"/>
    <w:rsid w:val="002F1A5B"/>
    <w:rsid w:val="00301B81"/>
    <w:rsid w:val="00312FFB"/>
    <w:rsid w:val="00365D32"/>
    <w:rsid w:val="003A05A0"/>
    <w:rsid w:val="003A6944"/>
    <w:rsid w:val="003A6CD4"/>
    <w:rsid w:val="00417935"/>
    <w:rsid w:val="00422C0C"/>
    <w:rsid w:val="00427202"/>
    <w:rsid w:val="00452314"/>
    <w:rsid w:val="004C0FEB"/>
    <w:rsid w:val="004D33F3"/>
    <w:rsid w:val="004E1724"/>
    <w:rsid w:val="0050782F"/>
    <w:rsid w:val="00510251"/>
    <w:rsid w:val="00531731"/>
    <w:rsid w:val="0054276C"/>
    <w:rsid w:val="005810CE"/>
    <w:rsid w:val="005A7C04"/>
    <w:rsid w:val="005C20DF"/>
    <w:rsid w:val="005F6E3C"/>
    <w:rsid w:val="00600734"/>
    <w:rsid w:val="0061523A"/>
    <w:rsid w:val="006204FD"/>
    <w:rsid w:val="006221FE"/>
    <w:rsid w:val="00636BFE"/>
    <w:rsid w:val="00657883"/>
    <w:rsid w:val="006651FB"/>
    <w:rsid w:val="00680D12"/>
    <w:rsid w:val="00697E63"/>
    <w:rsid w:val="006B5278"/>
    <w:rsid w:val="006C04AF"/>
    <w:rsid w:val="006D13B2"/>
    <w:rsid w:val="006D5A3B"/>
    <w:rsid w:val="006D7181"/>
    <w:rsid w:val="00725DD8"/>
    <w:rsid w:val="007518B2"/>
    <w:rsid w:val="00751DDC"/>
    <w:rsid w:val="00776023"/>
    <w:rsid w:val="007B5C80"/>
    <w:rsid w:val="007C0AC7"/>
    <w:rsid w:val="007D6F0D"/>
    <w:rsid w:val="007E3107"/>
    <w:rsid w:val="00816181"/>
    <w:rsid w:val="00855DDC"/>
    <w:rsid w:val="008824DC"/>
    <w:rsid w:val="008B0A28"/>
    <w:rsid w:val="008E71DE"/>
    <w:rsid w:val="009024CE"/>
    <w:rsid w:val="00916871"/>
    <w:rsid w:val="00924E7B"/>
    <w:rsid w:val="00940D99"/>
    <w:rsid w:val="009518BE"/>
    <w:rsid w:val="00953871"/>
    <w:rsid w:val="009555D4"/>
    <w:rsid w:val="00994316"/>
    <w:rsid w:val="0099498B"/>
    <w:rsid w:val="009D63B8"/>
    <w:rsid w:val="009E06A2"/>
    <w:rsid w:val="00A10B89"/>
    <w:rsid w:val="00A154B2"/>
    <w:rsid w:val="00A5687E"/>
    <w:rsid w:val="00A6236C"/>
    <w:rsid w:val="00AA1616"/>
    <w:rsid w:val="00AB4906"/>
    <w:rsid w:val="00AC3DC4"/>
    <w:rsid w:val="00B031F8"/>
    <w:rsid w:val="00B047D2"/>
    <w:rsid w:val="00B32847"/>
    <w:rsid w:val="00B565CF"/>
    <w:rsid w:val="00B57968"/>
    <w:rsid w:val="00B6561C"/>
    <w:rsid w:val="00B80D8B"/>
    <w:rsid w:val="00B96539"/>
    <w:rsid w:val="00BB49CD"/>
    <w:rsid w:val="00C2199E"/>
    <w:rsid w:val="00C36DB2"/>
    <w:rsid w:val="00C57289"/>
    <w:rsid w:val="00C763D9"/>
    <w:rsid w:val="00C8534A"/>
    <w:rsid w:val="00CE4770"/>
    <w:rsid w:val="00CF7ABD"/>
    <w:rsid w:val="00D345E4"/>
    <w:rsid w:val="00DE16F5"/>
    <w:rsid w:val="00E33CBB"/>
    <w:rsid w:val="00E36740"/>
    <w:rsid w:val="00E40546"/>
    <w:rsid w:val="00E4768F"/>
    <w:rsid w:val="00E75C2D"/>
    <w:rsid w:val="00E769A5"/>
    <w:rsid w:val="00E858D1"/>
    <w:rsid w:val="00E97B79"/>
    <w:rsid w:val="00EB4455"/>
    <w:rsid w:val="00EC45FF"/>
    <w:rsid w:val="00F1100E"/>
    <w:rsid w:val="00F33944"/>
    <w:rsid w:val="00F355C3"/>
    <w:rsid w:val="00F74916"/>
    <w:rsid w:val="00F854AE"/>
    <w:rsid w:val="00FC2E58"/>
    <w:rsid w:val="00FF53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41"/>
  <w15:chartTrackingRefBased/>
  <w15:docId w15:val="{C9F5F4D5-06BA-4D8B-B096-25BEB0D1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20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20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20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20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20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20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20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20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20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20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20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20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20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20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20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20DF"/>
    <w:rPr>
      <w:rFonts w:eastAsiaTheme="majorEastAsia" w:cstheme="majorBidi"/>
      <w:color w:val="272727" w:themeColor="text1" w:themeTint="D8"/>
    </w:rPr>
  </w:style>
  <w:style w:type="paragraph" w:styleId="Titel">
    <w:name w:val="Title"/>
    <w:basedOn w:val="Standaard"/>
    <w:next w:val="Standaard"/>
    <w:link w:val="TitelChar"/>
    <w:uiPriority w:val="10"/>
    <w:qFormat/>
    <w:rsid w:val="005C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0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20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20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20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20DF"/>
    <w:rPr>
      <w:i/>
      <w:iCs/>
      <w:color w:val="404040" w:themeColor="text1" w:themeTint="BF"/>
    </w:rPr>
  </w:style>
  <w:style w:type="paragraph" w:styleId="Lijstalinea">
    <w:name w:val="List Paragraph"/>
    <w:basedOn w:val="Standaard"/>
    <w:uiPriority w:val="34"/>
    <w:qFormat/>
    <w:rsid w:val="005C20DF"/>
    <w:pPr>
      <w:ind w:left="720"/>
      <w:contextualSpacing/>
    </w:pPr>
  </w:style>
  <w:style w:type="character" w:styleId="Intensievebenadrukking">
    <w:name w:val="Intense Emphasis"/>
    <w:basedOn w:val="Standaardalinea-lettertype"/>
    <w:uiPriority w:val="21"/>
    <w:qFormat/>
    <w:rsid w:val="005C20DF"/>
    <w:rPr>
      <w:i/>
      <w:iCs/>
      <w:color w:val="0F4761" w:themeColor="accent1" w:themeShade="BF"/>
    </w:rPr>
  </w:style>
  <w:style w:type="paragraph" w:styleId="Duidelijkcitaat">
    <w:name w:val="Intense Quote"/>
    <w:basedOn w:val="Standaard"/>
    <w:next w:val="Standaard"/>
    <w:link w:val="DuidelijkcitaatChar"/>
    <w:uiPriority w:val="30"/>
    <w:qFormat/>
    <w:rsid w:val="005C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20DF"/>
    <w:rPr>
      <w:i/>
      <w:iCs/>
      <w:color w:val="0F4761" w:themeColor="accent1" w:themeShade="BF"/>
    </w:rPr>
  </w:style>
  <w:style w:type="character" w:styleId="Intensieveverwijzing">
    <w:name w:val="Intense Reference"/>
    <w:basedOn w:val="Standaardalinea-lettertype"/>
    <w:uiPriority w:val="32"/>
    <w:qFormat/>
    <w:rsid w:val="005C20DF"/>
    <w:rPr>
      <w:b/>
      <w:bCs/>
      <w:smallCaps/>
      <w:color w:val="0F4761" w:themeColor="accent1" w:themeShade="BF"/>
      <w:spacing w:val="5"/>
    </w:rPr>
  </w:style>
  <w:style w:type="character" w:styleId="Hyperlink">
    <w:name w:val="Hyperlink"/>
    <w:basedOn w:val="Standaardalinea-lettertype"/>
    <w:uiPriority w:val="99"/>
    <w:unhideWhenUsed/>
    <w:rsid w:val="00E858D1"/>
    <w:rPr>
      <w:color w:val="467886" w:themeColor="hyperlink"/>
      <w:u w:val="single"/>
    </w:rPr>
  </w:style>
  <w:style w:type="character" w:styleId="Onopgelostemelding">
    <w:name w:val="Unresolved Mention"/>
    <w:basedOn w:val="Standaardalinea-lettertype"/>
    <w:uiPriority w:val="99"/>
    <w:semiHidden/>
    <w:unhideWhenUsed/>
    <w:rsid w:val="00E858D1"/>
    <w:rPr>
      <w:color w:val="605E5C"/>
      <w:shd w:val="clear" w:color="auto" w:fill="E1DFDD"/>
    </w:rPr>
  </w:style>
  <w:style w:type="paragraph" w:styleId="Normaalweb">
    <w:name w:val="Normal (Web)"/>
    <w:basedOn w:val="Standaard"/>
    <w:uiPriority w:val="99"/>
    <w:semiHidden/>
    <w:unhideWhenUsed/>
    <w:rsid w:val="00E97B79"/>
    <w:rPr>
      <w:rFonts w:ascii="Times New Roman" w:hAnsi="Times New Roman" w:cs="Times New Roman"/>
      <w:sz w:val="24"/>
      <w:szCs w:val="24"/>
    </w:rPr>
  </w:style>
  <w:style w:type="paragraph" w:styleId="Bibliografie">
    <w:name w:val="Bibliography"/>
    <w:basedOn w:val="Standaard"/>
    <w:next w:val="Standaard"/>
    <w:uiPriority w:val="37"/>
    <w:unhideWhenUsed/>
    <w:rsid w:val="00240B48"/>
    <w:pPr>
      <w:spacing w:after="0" w:line="480" w:lineRule="auto"/>
      <w:ind w:left="720" w:hanging="720"/>
    </w:pPr>
  </w:style>
  <w:style w:type="character" w:styleId="GevolgdeHyperlink">
    <w:name w:val="FollowedHyperlink"/>
    <w:basedOn w:val="Standaardalinea-lettertype"/>
    <w:uiPriority w:val="99"/>
    <w:semiHidden/>
    <w:unhideWhenUsed/>
    <w:rsid w:val="005427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4988">
      <w:bodyDiv w:val="1"/>
      <w:marLeft w:val="0"/>
      <w:marRight w:val="0"/>
      <w:marTop w:val="0"/>
      <w:marBottom w:val="0"/>
      <w:divBdr>
        <w:top w:val="none" w:sz="0" w:space="0" w:color="auto"/>
        <w:left w:val="none" w:sz="0" w:space="0" w:color="auto"/>
        <w:bottom w:val="none" w:sz="0" w:space="0" w:color="auto"/>
        <w:right w:val="none" w:sz="0" w:space="0" w:color="auto"/>
      </w:divBdr>
      <w:divsChild>
        <w:div w:id="67075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39910">
      <w:bodyDiv w:val="1"/>
      <w:marLeft w:val="0"/>
      <w:marRight w:val="0"/>
      <w:marTop w:val="0"/>
      <w:marBottom w:val="0"/>
      <w:divBdr>
        <w:top w:val="none" w:sz="0" w:space="0" w:color="auto"/>
        <w:left w:val="none" w:sz="0" w:space="0" w:color="auto"/>
        <w:bottom w:val="none" w:sz="0" w:space="0" w:color="auto"/>
        <w:right w:val="none" w:sz="0" w:space="0" w:color="auto"/>
      </w:divBdr>
    </w:div>
    <w:div w:id="165749623">
      <w:bodyDiv w:val="1"/>
      <w:marLeft w:val="0"/>
      <w:marRight w:val="0"/>
      <w:marTop w:val="0"/>
      <w:marBottom w:val="0"/>
      <w:divBdr>
        <w:top w:val="none" w:sz="0" w:space="0" w:color="auto"/>
        <w:left w:val="none" w:sz="0" w:space="0" w:color="auto"/>
        <w:bottom w:val="none" w:sz="0" w:space="0" w:color="auto"/>
        <w:right w:val="none" w:sz="0" w:space="0" w:color="auto"/>
      </w:divBdr>
    </w:div>
    <w:div w:id="268007379">
      <w:bodyDiv w:val="1"/>
      <w:marLeft w:val="0"/>
      <w:marRight w:val="0"/>
      <w:marTop w:val="0"/>
      <w:marBottom w:val="0"/>
      <w:divBdr>
        <w:top w:val="none" w:sz="0" w:space="0" w:color="auto"/>
        <w:left w:val="none" w:sz="0" w:space="0" w:color="auto"/>
        <w:bottom w:val="none" w:sz="0" w:space="0" w:color="auto"/>
        <w:right w:val="none" w:sz="0" w:space="0" w:color="auto"/>
      </w:divBdr>
    </w:div>
    <w:div w:id="277571133">
      <w:bodyDiv w:val="1"/>
      <w:marLeft w:val="0"/>
      <w:marRight w:val="0"/>
      <w:marTop w:val="0"/>
      <w:marBottom w:val="0"/>
      <w:divBdr>
        <w:top w:val="none" w:sz="0" w:space="0" w:color="auto"/>
        <w:left w:val="none" w:sz="0" w:space="0" w:color="auto"/>
        <w:bottom w:val="none" w:sz="0" w:space="0" w:color="auto"/>
        <w:right w:val="none" w:sz="0" w:space="0" w:color="auto"/>
      </w:divBdr>
    </w:div>
    <w:div w:id="322242271">
      <w:bodyDiv w:val="1"/>
      <w:marLeft w:val="0"/>
      <w:marRight w:val="0"/>
      <w:marTop w:val="0"/>
      <w:marBottom w:val="0"/>
      <w:divBdr>
        <w:top w:val="none" w:sz="0" w:space="0" w:color="auto"/>
        <w:left w:val="none" w:sz="0" w:space="0" w:color="auto"/>
        <w:bottom w:val="none" w:sz="0" w:space="0" w:color="auto"/>
        <w:right w:val="none" w:sz="0" w:space="0" w:color="auto"/>
      </w:divBdr>
    </w:div>
    <w:div w:id="324892739">
      <w:bodyDiv w:val="1"/>
      <w:marLeft w:val="0"/>
      <w:marRight w:val="0"/>
      <w:marTop w:val="0"/>
      <w:marBottom w:val="0"/>
      <w:divBdr>
        <w:top w:val="none" w:sz="0" w:space="0" w:color="auto"/>
        <w:left w:val="none" w:sz="0" w:space="0" w:color="auto"/>
        <w:bottom w:val="none" w:sz="0" w:space="0" w:color="auto"/>
        <w:right w:val="none" w:sz="0" w:space="0" w:color="auto"/>
      </w:divBdr>
    </w:div>
    <w:div w:id="409620557">
      <w:bodyDiv w:val="1"/>
      <w:marLeft w:val="0"/>
      <w:marRight w:val="0"/>
      <w:marTop w:val="0"/>
      <w:marBottom w:val="0"/>
      <w:divBdr>
        <w:top w:val="none" w:sz="0" w:space="0" w:color="auto"/>
        <w:left w:val="none" w:sz="0" w:space="0" w:color="auto"/>
        <w:bottom w:val="none" w:sz="0" w:space="0" w:color="auto"/>
        <w:right w:val="none" w:sz="0" w:space="0" w:color="auto"/>
      </w:divBdr>
    </w:div>
    <w:div w:id="436829916">
      <w:bodyDiv w:val="1"/>
      <w:marLeft w:val="0"/>
      <w:marRight w:val="0"/>
      <w:marTop w:val="0"/>
      <w:marBottom w:val="0"/>
      <w:divBdr>
        <w:top w:val="none" w:sz="0" w:space="0" w:color="auto"/>
        <w:left w:val="none" w:sz="0" w:space="0" w:color="auto"/>
        <w:bottom w:val="none" w:sz="0" w:space="0" w:color="auto"/>
        <w:right w:val="none" w:sz="0" w:space="0" w:color="auto"/>
      </w:divBdr>
    </w:div>
    <w:div w:id="455294891">
      <w:bodyDiv w:val="1"/>
      <w:marLeft w:val="0"/>
      <w:marRight w:val="0"/>
      <w:marTop w:val="0"/>
      <w:marBottom w:val="0"/>
      <w:divBdr>
        <w:top w:val="none" w:sz="0" w:space="0" w:color="auto"/>
        <w:left w:val="none" w:sz="0" w:space="0" w:color="auto"/>
        <w:bottom w:val="none" w:sz="0" w:space="0" w:color="auto"/>
        <w:right w:val="none" w:sz="0" w:space="0" w:color="auto"/>
      </w:divBdr>
    </w:div>
    <w:div w:id="472874945">
      <w:bodyDiv w:val="1"/>
      <w:marLeft w:val="0"/>
      <w:marRight w:val="0"/>
      <w:marTop w:val="0"/>
      <w:marBottom w:val="0"/>
      <w:divBdr>
        <w:top w:val="none" w:sz="0" w:space="0" w:color="auto"/>
        <w:left w:val="none" w:sz="0" w:space="0" w:color="auto"/>
        <w:bottom w:val="none" w:sz="0" w:space="0" w:color="auto"/>
        <w:right w:val="none" w:sz="0" w:space="0" w:color="auto"/>
      </w:divBdr>
    </w:div>
    <w:div w:id="546724278">
      <w:bodyDiv w:val="1"/>
      <w:marLeft w:val="0"/>
      <w:marRight w:val="0"/>
      <w:marTop w:val="0"/>
      <w:marBottom w:val="0"/>
      <w:divBdr>
        <w:top w:val="none" w:sz="0" w:space="0" w:color="auto"/>
        <w:left w:val="none" w:sz="0" w:space="0" w:color="auto"/>
        <w:bottom w:val="none" w:sz="0" w:space="0" w:color="auto"/>
        <w:right w:val="none" w:sz="0" w:space="0" w:color="auto"/>
      </w:divBdr>
    </w:div>
    <w:div w:id="554317381">
      <w:bodyDiv w:val="1"/>
      <w:marLeft w:val="0"/>
      <w:marRight w:val="0"/>
      <w:marTop w:val="0"/>
      <w:marBottom w:val="0"/>
      <w:divBdr>
        <w:top w:val="none" w:sz="0" w:space="0" w:color="auto"/>
        <w:left w:val="none" w:sz="0" w:space="0" w:color="auto"/>
        <w:bottom w:val="none" w:sz="0" w:space="0" w:color="auto"/>
        <w:right w:val="none" w:sz="0" w:space="0" w:color="auto"/>
      </w:divBdr>
    </w:div>
    <w:div w:id="586965374">
      <w:bodyDiv w:val="1"/>
      <w:marLeft w:val="0"/>
      <w:marRight w:val="0"/>
      <w:marTop w:val="0"/>
      <w:marBottom w:val="0"/>
      <w:divBdr>
        <w:top w:val="none" w:sz="0" w:space="0" w:color="auto"/>
        <w:left w:val="none" w:sz="0" w:space="0" w:color="auto"/>
        <w:bottom w:val="none" w:sz="0" w:space="0" w:color="auto"/>
        <w:right w:val="none" w:sz="0" w:space="0" w:color="auto"/>
      </w:divBdr>
    </w:div>
    <w:div w:id="728453942">
      <w:bodyDiv w:val="1"/>
      <w:marLeft w:val="0"/>
      <w:marRight w:val="0"/>
      <w:marTop w:val="0"/>
      <w:marBottom w:val="0"/>
      <w:divBdr>
        <w:top w:val="none" w:sz="0" w:space="0" w:color="auto"/>
        <w:left w:val="none" w:sz="0" w:space="0" w:color="auto"/>
        <w:bottom w:val="none" w:sz="0" w:space="0" w:color="auto"/>
        <w:right w:val="none" w:sz="0" w:space="0" w:color="auto"/>
      </w:divBdr>
    </w:div>
    <w:div w:id="766582398">
      <w:bodyDiv w:val="1"/>
      <w:marLeft w:val="0"/>
      <w:marRight w:val="0"/>
      <w:marTop w:val="0"/>
      <w:marBottom w:val="0"/>
      <w:divBdr>
        <w:top w:val="none" w:sz="0" w:space="0" w:color="auto"/>
        <w:left w:val="none" w:sz="0" w:space="0" w:color="auto"/>
        <w:bottom w:val="none" w:sz="0" w:space="0" w:color="auto"/>
        <w:right w:val="none" w:sz="0" w:space="0" w:color="auto"/>
      </w:divBdr>
    </w:div>
    <w:div w:id="787042607">
      <w:bodyDiv w:val="1"/>
      <w:marLeft w:val="0"/>
      <w:marRight w:val="0"/>
      <w:marTop w:val="0"/>
      <w:marBottom w:val="0"/>
      <w:divBdr>
        <w:top w:val="none" w:sz="0" w:space="0" w:color="auto"/>
        <w:left w:val="none" w:sz="0" w:space="0" w:color="auto"/>
        <w:bottom w:val="none" w:sz="0" w:space="0" w:color="auto"/>
        <w:right w:val="none" w:sz="0" w:space="0" w:color="auto"/>
      </w:divBdr>
    </w:div>
    <w:div w:id="811097565">
      <w:bodyDiv w:val="1"/>
      <w:marLeft w:val="0"/>
      <w:marRight w:val="0"/>
      <w:marTop w:val="0"/>
      <w:marBottom w:val="0"/>
      <w:divBdr>
        <w:top w:val="none" w:sz="0" w:space="0" w:color="auto"/>
        <w:left w:val="none" w:sz="0" w:space="0" w:color="auto"/>
        <w:bottom w:val="none" w:sz="0" w:space="0" w:color="auto"/>
        <w:right w:val="none" w:sz="0" w:space="0" w:color="auto"/>
      </w:divBdr>
    </w:div>
    <w:div w:id="831674445">
      <w:bodyDiv w:val="1"/>
      <w:marLeft w:val="0"/>
      <w:marRight w:val="0"/>
      <w:marTop w:val="0"/>
      <w:marBottom w:val="0"/>
      <w:divBdr>
        <w:top w:val="none" w:sz="0" w:space="0" w:color="auto"/>
        <w:left w:val="none" w:sz="0" w:space="0" w:color="auto"/>
        <w:bottom w:val="none" w:sz="0" w:space="0" w:color="auto"/>
        <w:right w:val="none" w:sz="0" w:space="0" w:color="auto"/>
      </w:divBdr>
    </w:div>
    <w:div w:id="855268618">
      <w:bodyDiv w:val="1"/>
      <w:marLeft w:val="0"/>
      <w:marRight w:val="0"/>
      <w:marTop w:val="0"/>
      <w:marBottom w:val="0"/>
      <w:divBdr>
        <w:top w:val="none" w:sz="0" w:space="0" w:color="auto"/>
        <w:left w:val="none" w:sz="0" w:space="0" w:color="auto"/>
        <w:bottom w:val="none" w:sz="0" w:space="0" w:color="auto"/>
        <w:right w:val="none" w:sz="0" w:space="0" w:color="auto"/>
      </w:divBdr>
    </w:div>
    <w:div w:id="859318495">
      <w:bodyDiv w:val="1"/>
      <w:marLeft w:val="0"/>
      <w:marRight w:val="0"/>
      <w:marTop w:val="0"/>
      <w:marBottom w:val="0"/>
      <w:divBdr>
        <w:top w:val="none" w:sz="0" w:space="0" w:color="auto"/>
        <w:left w:val="none" w:sz="0" w:space="0" w:color="auto"/>
        <w:bottom w:val="none" w:sz="0" w:space="0" w:color="auto"/>
        <w:right w:val="none" w:sz="0" w:space="0" w:color="auto"/>
      </w:divBdr>
    </w:div>
    <w:div w:id="909970769">
      <w:bodyDiv w:val="1"/>
      <w:marLeft w:val="0"/>
      <w:marRight w:val="0"/>
      <w:marTop w:val="0"/>
      <w:marBottom w:val="0"/>
      <w:divBdr>
        <w:top w:val="none" w:sz="0" w:space="0" w:color="auto"/>
        <w:left w:val="none" w:sz="0" w:space="0" w:color="auto"/>
        <w:bottom w:val="none" w:sz="0" w:space="0" w:color="auto"/>
        <w:right w:val="none" w:sz="0" w:space="0" w:color="auto"/>
      </w:divBdr>
    </w:div>
    <w:div w:id="1034697105">
      <w:bodyDiv w:val="1"/>
      <w:marLeft w:val="0"/>
      <w:marRight w:val="0"/>
      <w:marTop w:val="0"/>
      <w:marBottom w:val="0"/>
      <w:divBdr>
        <w:top w:val="none" w:sz="0" w:space="0" w:color="auto"/>
        <w:left w:val="none" w:sz="0" w:space="0" w:color="auto"/>
        <w:bottom w:val="none" w:sz="0" w:space="0" w:color="auto"/>
        <w:right w:val="none" w:sz="0" w:space="0" w:color="auto"/>
      </w:divBdr>
    </w:div>
    <w:div w:id="1112824302">
      <w:bodyDiv w:val="1"/>
      <w:marLeft w:val="0"/>
      <w:marRight w:val="0"/>
      <w:marTop w:val="0"/>
      <w:marBottom w:val="0"/>
      <w:divBdr>
        <w:top w:val="none" w:sz="0" w:space="0" w:color="auto"/>
        <w:left w:val="none" w:sz="0" w:space="0" w:color="auto"/>
        <w:bottom w:val="none" w:sz="0" w:space="0" w:color="auto"/>
        <w:right w:val="none" w:sz="0" w:space="0" w:color="auto"/>
      </w:divBdr>
    </w:div>
    <w:div w:id="1122500920">
      <w:bodyDiv w:val="1"/>
      <w:marLeft w:val="0"/>
      <w:marRight w:val="0"/>
      <w:marTop w:val="0"/>
      <w:marBottom w:val="0"/>
      <w:divBdr>
        <w:top w:val="none" w:sz="0" w:space="0" w:color="auto"/>
        <w:left w:val="none" w:sz="0" w:space="0" w:color="auto"/>
        <w:bottom w:val="none" w:sz="0" w:space="0" w:color="auto"/>
        <w:right w:val="none" w:sz="0" w:space="0" w:color="auto"/>
      </w:divBdr>
      <w:divsChild>
        <w:div w:id="79128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303364">
      <w:bodyDiv w:val="1"/>
      <w:marLeft w:val="0"/>
      <w:marRight w:val="0"/>
      <w:marTop w:val="0"/>
      <w:marBottom w:val="0"/>
      <w:divBdr>
        <w:top w:val="none" w:sz="0" w:space="0" w:color="auto"/>
        <w:left w:val="none" w:sz="0" w:space="0" w:color="auto"/>
        <w:bottom w:val="none" w:sz="0" w:space="0" w:color="auto"/>
        <w:right w:val="none" w:sz="0" w:space="0" w:color="auto"/>
      </w:divBdr>
    </w:div>
    <w:div w:id="1129007745">
      <w:bodyDiv w:val="1"/>
      <w:marLeft w:val="0"/>
      <w:marRight w:val="0"/>
      <w:marTop w:val="0"/>
      <w:marBottom w:val="0"/>
      <w:divBdr>
        <w:top w:val="none" w:sz="0" w:space="0" w:color="auto"/>
        <w:left w:val="none" w:sz="0" w:space="0" w:color="auto"/>
        <w:bottom w:val="none" w:sz="0" w:space="0" w:color="auto"/>
        <w:right w:val="none" w:sz="0" w:space="0" w:color="auto"/>
      </w:divBdr>
    </w:div>
    <w:div w:id="1197622186">
      <w:bodyDiv w:val="1"/>
      <w:marLeft w:val="0"/>
      <w:marRight w:val="0"/>
      <w:marTop w:val="0"/>
      <w:marBottom w:val="0"/>
      <w:divBdr>
        <w:top w:val="none" w:sz="0" w:space="0" w:color="auto"/>
        <w:left w:val="none" w:sz="0" w:space="0" w:color="auto"/>
        <w:bottom w:val="none" w:sz="0" w:space="0" w:color="auto"/>
        <w:right w:val="none" w:sz="0" w:space="0" w:color="auto"/>
      </w:divBdr>
    </w:div>
    <w:div w:id="1212501511">
      <w:bodyDiv w:val="1"/>
      <w:marLeft w:val="0"/>
      <w:marRight w:val="0"/>
      <w:marTop w:val="0"/>
      <w:marBottom w:val="0"/>
      <w:divBdr>
        <w:top w:val="none" w:sz="0" w:space="0" w:color="auto"/>
        <w:left w:val="none" w:sz="0" w:space="0" w:color="auto"/>
        <w:bottom w:val="none" w:sz="0" w:space="0" w:color="auto"/>
        <w:right w:val="none" w:sz="0" w:space="0" w:color="auto"/>
      </w:divBdr>
    </w:div>
    <w:div w:id="1233194900">
      <w:bodyDiv w:val="1"/>
      <w:marLeft w:val="0"/>
      <w:marRight w:val="0"/>
      <w:marTop w:val="0"/>
      <w:marBottom w:val="0"/>
      <w:divBdr>
        <w:top w:val="none" w:sz="0" w:space="0" w:color="auto"/>
        <w:left w:val="none" w:sz="0" w:space="0" w:color="auto"/>
        <w:bottom w:val="none" w:sz="0" w:space="0" w:color="auto"/>
        <w:right w:val="none" w:sz="0" w:space="0" w:color="auto"/>
      </w:divBdr>
    </w:div>
    <w:div w:id="1319723738">
      <w:bodyDiv w:val="1"/>
      <w:marLeft w:val="0"/>
      <w:marRight w:val="0"/>
      <w:marTop w:val="0"/>
      <w:marBottom w:val="0"/>
      <w:divBdr>
        <w:top w:val="none" w:sz="0" w:space="0" w:color="auto"/>
        <w:left w:val="none" w:sz="0" w:space="0" w:color="auto"/>
        <w:bottom w:val="none" w:sz="0" w:space="0" w:color="auto"/>
        <w:right w:val="none" w:sz="0" w:space="0" w:color="auto"/>
      </w:divBdr>
    </w:div>
    <w:div w:id="1424568616">
      <w:bodyDiv w:val="1"/>
      <w:marLeft w:val="0"/>
      <w:marRight w:val="0"/>
      <w:marTop w:val="0"/>
      <w:marBottom w:val="0"/>
      <w:divBdr>
        <w:top w:val="none" w:sz="0" w:space="0" w:color="auto"/>
        <w:left w:val="none" w:sz="0" w:space="0" w:color="auto"/>
        <w:bottom w:val="none" w:sz="0" w:space="0" w:color="auto"/>
        <w:right w:val="none" w:sz="0" w:space="0" w:color="auto"/>
      </w:divBdr>
    </w:div>
    <w:div w:id="1494182413">
      <w:bodyDiv w:val="1"/>
      <w:marLeft w:val="0"/>
      <w:marRight w:val="0"/>
      <w:marTop w:val="0"/>
      <w:marBottom w:val="0"/>
      <w:divBdr>
        <w:top w:val="none" w:sz="0" w:space="0" w:color="auto"/>
        <w:left w:val="none" w:sz="0" w:space="0" w:color="auto"/>
        <w:bottom w:val="none" w:sz="0" w:space="0" w:color="auto"/>
        <w:right w:val="none" w:sz="0" w:space="0" w:color="auto"/>
      </w:divBdr>
    </w:div>
    <w:div w:id="1593388924">
      <w:bodyDiv w:val="1"/>
      <w:marLeft w:val="0"/>
      <w:marRight w:val="0"/>
      <w:marTop w:val="0"/>
      <w:marBottom w:val="0"/>
      <w:divBdr>
        <w:top w:val="none" w:sz="0" w:space="0" w:color="auto"/>
        <w:left w:val="none" w:sz="0" w:space="0" w:color="auto"/>
        <w:bottom w:val="none" w:sz="0" w:space="0" w:color="auto"/>
        <w:right w:val="none" w:sz="0" w:space="0" w:color="auto"/>
      </w:divBdr>
      <w:divsChild>
        <w:div w:id="2021665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1110">
      <w:bodyDiv w:val="1"/>
      <w:marLeft w:val="0"/>
      <w:marRight w:val="0"/>
      <w:marTop w:val="0"/>
      <w:marBottom w:val="0"/>
      <w:divBdr>
        <w:top w:val="none" w:sz="0" w:space="0" w:color="auto"/>
        <w:left w:val="none" w:sz="0" w:space="0" w:color="auto"/>
        <w:bottom w:val="none" w:sz="0" w:space="0" w:color="auto"/>
        <w:right w:val="none" w:sz="0" w:space="0" w:color="auto"/>
      </w:divBdr>
    </w:div>
    <w:div w:id="1705475275">
      <w:bodyDiv w:val="1"/>
      <w:marLeft w:val="0"/>
      <w:marRight w:val="0"/>
      <w:marTop w:val="0"/>
      <w:marBottom w:val="0"/>
      <w:divBdr>
        <w:top w:val="none" w:sz="0" w:space="0" w:color="auto"/>
        <w:left w:val="none" w:sz="0" w:space="0" w:color="auto"/>
        <w:bottom w:val="none" w:sz="0" w:space="0" w:color="auto"/>
        <w:right w:val="none" w:sz="0" w:space="0" w:color="auto"/>
      </w:divBdr>
    </w:div>
    <w:div w:id="1723602761">
      <w:bodyDiv w:val="1"/>
      <w:marLeft w:val="0"/>
      <w:marRight w:val="0"/>
      <w:marTop w:val="0"/>
      <w:marBottom w:val="0"/>
      <w:divBdr>
        <w:top w:val="none" w:sz="0" w:space="0" w:color="auto"/>
        <w:left w:val="none" w:sz="0" w:space="0" w:color="auto"/>
        <w:bottom w:val="none" w:sz="0" w:space="0" w:color="auto"/>
        <w:right w:val="none" w:sz="0" w:space="0" w:color="auto"/>
      </w:divBdr>
    </w:div>
    <w:div w:id="1727334012">
      <w:bodyDiv w:val="1"/>
      <w:marLeft w:val="0"/>
      <w:marRight w:val="0"/>
      <w:marTop w:val="0"/>
      <w:marBottom w:val="0"/>
      <w:divBdr>
        <w:top w:val="none" w:sz="0" w:space="0" w:color="auto"/>
        <w:left w:val="none" w:sz="0" w:space="0" w:color="auto"/>
        <w:bottom w:val="none" w:sz="0" w:space="0" w:color="auto"/>
        <w:right w:val="none" w:sz="0" w:space="0" w:color="auto"/>
      </w:divBdr>
      <w:divsChild>
        <w:div w:id="127980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45714">
      <w:bodyDiv w:val="1"/>
      <w:marLeft w:val="0"/>
      <w:marRight w:val="0"/>
      <w:marTop w:val="0"/>
      <w:marBottom w:val="0"/>
      <w:divBdr>
        <w:top w:val="none" w:sz="0" w:space="0" w:color="auto"/>
        <w:left w:val="none" w:sz="0" w:space="0" w:color="auto"/>
        <w:bottom w:val="none" w:sz="0" w:space="0" w:color="auto"/>
        <w:right w:val="none" w:sz="0" w:space="0" w:color="auto"/>
      </w:divBdr>
      <w:divsChild>
        <w:div w:id="9090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417914">
      <w:bodyDiv w:val="1"/>
      <w:marLeft w:val="0"/>
      <w:marRight w:val="0"/>
      <w:marTop w:val="0"/>
      <w:marBottom w:val="0"/>
      <w:divBdr>
        <w:top w:val="none" w:sz="0" w:space="0" w:color="auto"/>
        <w:left w:val="none" w:sz="0" w:space="0" w:color="auto"/>
        <w:bottom w:val="none" w:sz="0" w:space="0" w:color="auto"/>
        <w:right w:val="none" w:sz="0" w:space="0" w:color="auto"/>
      </w:divBdr>
    </w:div>
    <w:div w:id="1873495060">
      <w:bodyDiv w:val="1"/>
      <w:marLeft w:val="0"/>
      <w:marRight w:val="0"/>
      <w:marTop w:val="0"/>
      <w:marBottom w:val="0"/>
      <w:divBdr>
        <w:top w:val="none" w:sz="0" w:space="0" w:color="auto"/>
        <w:left w:val="none" w:sz="0" w:space="0" w:color="auto"/>
        <w:bottom w:val="none" w:sz="0" w:space="0" w:color="auto"/>
        <w:right w:val="none" w:sz="0" w:space="0" w:color="auto"/>
      </w:divBdr>
    </w:div>
    <w:div w:id="1888762066">
      <w:bodyDiv w:val="1"/>
      <w:marLeft w:val="0"/>
      <w:marRight w:val="0"/>
      <w:marTop w:val="0"/>
      <w:marBottom w:val="0"/>
      <w:divBdr>
        <w:top w:val="none" w:sz="0" w:space="0" w:color="auto"/>
        <w:left w:val="none" w:sz="0" w:space="0" w:color="auto"/>
        <w:bottom w:val="none" w:sz="0" w:space="0" w:color="auto"/>
        <w:right w:val="none" w:sz="0" w:space="0" w:color="auto"/>
      </w:divBdr>
    </w:div>
    <w:div w:id="19071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54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713471">
      <w:bodyDiv w:val="1"/>
      <w:marLeft w:val="0"/>
      <w:marRight w:val="0"/>
      <w:marTop w:val="0"/>
      <w:marBottom w:val="0"/>
      <w:divBdr>
        <w:top w:val="none" w:sz="0" w:space="0" w:color="auto"/>
        <w:left w:val="none" w:sz="0" w:space="0" w:color="auto"/>
        <w:bottom w:val="none" w:sz="0" w:space="0" w:color="auto"/>
        <w:right w:val="none" w:sz="0" w:space="0" w:color="auto"/>
      </w:divBdr>
    </w:div>
    <w:div w:id="19807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elf/Downloads/fimmu-11-572858.pdf" TargetMode="External"/><Relationship Id="rId13" Type="http://schemas.openxmlformats.org/officeDocument/2006/relationships/hyperlink" Target="https://pmc.ncbi.nlm.nih.gov/articles/PMC11466505/" TargetMode="External"/><Relationship Id="rId18" Type="http://schemas.openxmlformats.org/officeDocument/2006/relationships/hyperlink" Target="file:///C:/Users/Yaelf/Downloads/fimmu-14-1161148.pdf" TargetMode="External"/><Relationship Id="rId3" Type="http://schemas.openxmlformats.org/officeDocument/2006/relationships/settings" Target="settings.xml"/><Relationship Id="rId7" Type="http://schemas.openxmlformats.org/officeDocument/2006/relationships/hyperlink" Target="file:///C:/Users/Yaelf/Downloads/fimmu-13-892970.pdf" TargetMode="External"/><Relationship Id="rId12" Type="http://schemas.openxmlformats.org/officeDocument/2006/relationships/hyperlink" Target="file:///C:/Users/Yaelf/Downloads/fmed-10-1247778.pdf" TargetMode="External"/><Relationship Id="rId17" Type="http://schemas.openxmlformats.org/officeDocument/2006/relationships/hyperlink" Target="https://pmc.ncbi.nlm.nih.gov/articles/PMC10637801/pdf/aging-15-205149.pdf" TargetMode="External"/><Relationship Id="rId2" Type="http://schemas.openxmlformats.org/officeDocument/2006/relationships/styles" Target="styles.xml"/><Relationship Id="rId16" Type="http://schemas.openxmlformats.org/officeDocument/2006/relationships/hyperlink" Target="file:///C:/Users/Yaelf/Downloads/fgene-11-572194%20(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gtr/genes/4541/" TargetMode="External"/><Relationship Id="rId5" Type="http://schemas.openxmlformats.org/officeDocument/2006/relationships/hyperlink" Target="https://www.ncbi.nlm.nih.gov/gtr/genes/4541/" TargetMode="External"/><Relationship Id="rId15" Type="http://schemas.openxmlformats.org/officeDocument/2006/relationships/hyperlink" Target="https://pmc.ncbi.nlm.nih.gov/articles/PMC11466505/" TargetMode="External"/><Relationship Id="rId10" Type="http://schemas.openxmlformats.org/officeDocument/2006/relationships/hyperlink" Target="file:///C:/Users/Yaelf/Downloads/12679-Article%20Text-14103-2-10-2023052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Yaelf/Downloads/fmed-08-598076.pdf" TargetMode="External"/><Relationship Id="rId14" Type="http://schemas.openxmlformats.org/officeDocument/2006/relationships/hyperlink" Target="https://pmc.ncbi.nlm.nih.gov/articles/PMC1146650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9757</TotalTime>
  <Pages>13</Pages>
  <Words>10470</Words>
  <Characters>57589</Characters>
  <Application>Microsoft Office Word</Application>
  <DocSecurity>0</DocSecurity>
  <Lines>479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Feenstra</dc:creator>
  <cp:keywords/>
  <dc:description/>
  <cp:lastModifiedBy>Yaël Feenstra</cp:lastModifiedBy>
  <cp:revision>18</cp:revision>
  <dcterms:created xsi:type="dcterms:W3CDTF">2025-06-03T15:04:00Z</dcterms:created>
  <dcterms:modified xsi:type="dcterms:W3CDTF">2025-06-16T15:12:00Z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id="NWiiTh54"/&gt;&lt;style id="http://www.zotero.org/styles/apa"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