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1"/>
        <w:spacing w:line="276" w:lineRule="auto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Body"/>
        <w:widowControl w:val="1"/>
        <w:spacing w:line="276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Model Development Phase Template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July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2024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SWTID1720075414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Panic Disorder Detection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 Marks</w:t>
            </w:r>
          </w:p>
        </w:tc>
      </w:tr>
    </w:tbl>
    <w:p>
      <w:pPr>
        <w:pStyle w:val="Body"/>
        <w:spacing w:after="160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Feature Selection Report Template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3"/>
        <w:gridCol w:w="1885"/>
        <w:gridCol w:w="2039"/>
        <w:gridCol w:w="4103"/>
      </w:tblGrid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val="single"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Feature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val="single"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Description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val="single"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Selected (Yes/No)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val="single"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Reasoning</w:t>
            </w:r>
          </w:p>
        </w:tc>
      </w:tr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Participant ID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Unique identifier assigned to each participant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No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For predicting Panic Disorder, Participant ID is not required</w:t>
            </w:r>
          </w:p>
        </w:tc>
      </w:tr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Age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Person's Age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Relevant for assessing the diversity and potential bias among different age groups</w:t>
            </w:r>
          </w:p>
        </w:tc>
      </w:tr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Gender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Person's Gender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Relevant for assessing the diversity and potential bias among different genders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Family History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Indicates the presence of a family history of panic disorder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Panic Disorders can be increased due to the influence of genetic predisposition and shared environmental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Personal History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Indicates personal medical history related to panic disorder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Previous experiences, traumas, or major life events can predispose individuals to panic disorders.</w:t>
            </w:r>
          </w:p>
        </w:tc>
      </w:tr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Current Stressors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Level of current stress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Presently affecting stress factors can increase the chances of Panic Disorder among individuals</w:t>
            </w:r>
          </w:p>
        </w:tc>
      </w:tr>
      <w:tr>
        <w:tblPrEx>
          <w:shd w:val="clear" w:color="auto" w:fill="ced7e7"/>
        </w:tblPrEx>
        <w:trPr>
          <w:trHeight w:val="2530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Symptoms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Types of symptoms experienced (e.g., shortness of breath, panic attacks, chest pain, dizziness, fear of losing control).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Specific symptoms can directly indicate the presence of Panic Disorder</w:t>
            </w:r>
          </w:p>
        </w:tc>
      </w:tr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Severity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Severity of symptoms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The intensity or frequency of symptoms can indicate the severity of the disorder, which affects prediction.</w:t>
            </w:r>
          </w:p>
        </w:tc>
      </w:tr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Impact on Life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The impact of symptoms on day-to-day life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How much the disorder interferes with daily life can indicate help in predicting it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>s outcomes.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Demographics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Urban or rural classification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Demographic factors, such as education, socioeconomic status, can directly influence the chances of having a Panic Disorder</w:t>
            </w:r>
          </w:p>
        </w:tc>
      </w:tr>
      <w:tr>
        <w:tblPrEx>
          <w:shd w:val="clear" w:color="auto" w:fill="ced7e7"/>
        </w:tblPrEx>
        <w:trPr>
          <w:trHeight w:val="1410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Medical History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Existing medical conditions(e.g., diabetes, asthma, heart disease, or none).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Recurring or simultaneously occurring medical conditions may increase, decrease or interact with panic disorder symptoms.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Psychiatric History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Existing psychiatric conditions (e.g., bipolar disorder)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Previous diagnoses can affect the likelihood and severity of panic disorder.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Substance Use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Use of substances such as alcohol, drugs, or none.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Certain substances can trigger or worsen panic attacks, influencing disorder prediction.</w:t>
            </w:r>
          </w:p>
        </w:tc>
      </w:tr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Coping Mechanisms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Methods used to cope (e.g., seeking therapy)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How individuals manage stress can impact the development and severity of Panic Disorder.</w:t>
            </w:r>
          </w:p>
        </w:tc>
      </w:tr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Social Support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Indicates the Level of social support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Strong social networks can act as a defence against stress and reduce the likelihood of developing panic disorder.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Lifestyle Factors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Lifestyle factors such as exercise, diet, sleep quality.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Yes</w:t>
            </w:r>
          </w:p>
        </w:tc>
        <w:tc>
          <w:tcPr>
            <w:tcW w:type="dxa" w:w="4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Diet, exercise, sleep patterns, and other lifestyle choices can impact mental health and the occurence of panic disorder.</w:t>
            </w:r>
          </w:p>
        </w:tc>
      </w:tr>
    </w:tbl>
    <w:p>
      <w:pPr>
        <w:pStyle w:val="Body"/>
        <w:spacing w:after="16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1"/>
        <w:spacing w:after="160" w:line="276" w:lineRule="auto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both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447676</wp:posOffset>
          </wp:positionH>
          <wp:positionV relativeFrom="page">
            <wp:posOffset>121921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Body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