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0970DA" w14:textId="060B1E1E" w:rsidR="002435E4" w:rsidRDefault="002435E4">
      <w:pPr>
        <w:rPr>
          <w:rFonts w:ascii="Arial" w:hAnsi="Arial" w:cs="Arial"/>
          <w:lang w:val="pt-BR"/>
        </w:rPr>
      </w:pPr>
      <w:r w:rsidRPr="002435E4">
        <w:rPr>
          <w:rFonts w:ascii="Arial" w:hAnsi="Arial" w:cs="Arial"/>
          <w:b/>
          <w:bCs/>
          <w:lang w:val="pt-BR"/>
        </w:rPr>
        <w:t>Curso:</w:t>
      </w:r>
      <w:r>
        <w:rPr>
          <w:rFonts w:ascii="Arial" w:hAnsi="Arial" w:cs="Arial"/>
          <w:lang w:val="pt-BR"/>
        </w:rPr>
        <w:t xml:space="preserve"> Ciência da Computação</w:t>
      </w:r>
    </w:p>
    <w:p w14:paraId="05E9F983" w14:textId="77777777" w:rsidR="002435E4" w:rsidRDefault="002435E4">
      <w:pPr>
        <w:rPr>
          <w:rFonts w:ascii="Arial" w:hAnsi="Arial" w:cs="Arial"/>
          <w:lang w:val="pt-BR"/>
        </w:rPr>
      </w:pPr>
    </w:p>
    <w:p w14:paraId="404E4B35" w14:textId="60529540" w:rsidR="002435E4" w:rsidRPr="002435E4" w:rsidRDefault="002435E4">
      <w:pPr>
        <w:rPr>
          <w:rFonts w:ascii="Arial" w:hAnsi="Arial" w:cs="Arial"/>
          <w:b/>
          <w:bCs/>
          <w:lang w:val="pt-BR"/>
        </w:rPr>
      </w:pPr>
      <w:r w:rsidRPr="002435E4">
        <w:rPr>
          <w:rFonts w:ascii="Arial" w:hAnsi="Arial" w:cs="Arial"/>
          <w:b/>
          <w:bCs/>
          <w:lang w:val="pt-BR"/>
        </w:rPr>
        <w:t>Nome</w:t>
      </w:r>
      <w:r w:rsidR="00CB28F0">
        <w:rPr>
          <w:rFonts w:ascii="Arial" w:hAnsi="Arial" w:cs="Arial"/>
          <w:b/>
          <w:bCs/>
          <w:lang w:val="pt-BR"/>
        </w:rPr>
        <w:t>s</w:t>
      </w:r>
      <w:r>
        <w:rPr>
          <w:rFonts w:ascii="Arial" w:hAnsi="Arial" w:cs="Arial"/>
          <w:b/>
          <w:bCs/>
          <w:lang w:val="pt-BR"/>
        </w:rPr>
        <w:t xml:space="preserve"> dos Participantes</w:t>
      </w:r>
      <w:r w:rsidRPr="002435E4">
        <w:rPr>
          <w:rFonts w:ascii="Arial" w:hAnsi="Arial" w:cs="Arial"/>
          <w:b/>
          <w:bCs/>
          <w:lang w:val="pt-BR"/>
        </w:rPr>
        <w:t>:</w:t>
      </w:r>
    </w:p>
    <w:p w14:paraId="31646D1A" w14:textId="192EA8F4" w:rsidR="002435E4" w:rsidRPr="002435E4" w:rsidRDefault="002435E4">
      <w:pPr>
        <w:rPr>
          <w:rFonts w:ascii="Arial" w:hAnsi="Arial" w:cs="Arial"/>
        </w:rPr>
      </w:pPr>
      <w:r w:rsidRPr="002435E4">
        <w:rPr>
          <w:rFonts w:ascii="Arial" w:hAnsi="Arial" w:cs="Arial"/>
          <w:lang w:val="pt-BR"/>
        </w:rPr>
        <w:t xml:space="preserve">Henrique Floriano Alcantara – RM </w:t>
      </w:r>
      <w:r w:rsidRPr="002435E4">
        <w:rPr>
          <w:rFonts w:ascii="Arial" w:hAnsi="Arial" w:cs="Arial"/>
        </w:rPr>
        <w:t>575651</w:t>
      </w:r>
    </w:p>
    <w:p w14:paraId="5B76CF8B" w14:textId="245338E8" w:rsidR="002435E4" w:rsidRPr="002435E4" w:rsidRDefault="002435E4">
      <w:pPr>
        <w:rPr>
          <w:rFonts w:ascii="Arial" w:hAnsi="Arial" w:cs="Arial"/>
        </w:rPr>
      </w:pPr>
      <w:r w:rsidRPr="002435E4">
        <w:rPr>
          <w:rFonts w:ascii="Arial" w:hAnsi="Arial" w:cs="Arial"/>
        </w:rPr>
        <w:t>Katia Regina Bispo – RM 576044</w:t>
      </w:r>
    </w:p>
    <w:p w14:paraId="60676E55" w14:textId="795B486F" w:rsidR="002435E4" w:rsidRPr="002435E4" w:rsidRDefault="002435E4">
      <w:pPr>
        <w:rPr>
          <w:rFonts w:ascii="Arial" w:hAnsi="Arial" w:cs="Arial"/>
        </w:rPr>
      </w:pPr>
      <w:r w:rsidRPr="002435E4">
        <w:rPr>
          <w:rFonts w:ascii="Arial" w:hAnsi="Arial" w:cs="Arial"/>
        </w:rPr>
        <w:t>João Pedro Candido Souza – RM 575884</w:t>
      </w:r>
    </w:p>
    <w:p w14:paraId="413A1DFA" w14:textId="795CEDAC" w:rsidR="002435E4" w:rsidRPr="002435E4" w:rsidRDefault="002435E4">
      <w:pPr>
        <w:rPr>
          <w:rFonts w:ascii="Arial" w:hAnsi="Arial" w:cs="Arial"/>
        </w:rPr>
      </w:pPr>
      <w:r w:rsidRPr="002435E4">
        <w:rPr>
          <w:rFonts w:ascii="Arial" w:hAnsi="Arial" w:cs="Arial"/>
        </w:rPr>
        <w:t>Nicolas Klai de de França – RM 575343</w:t>
      </w:r>
    </w:p>
    <w:p w14:paraId="6DA221F2" w14:textId="102C9569" w:rsidR="002435E4" w:rsidRDefault="002435E4">
      <w:pPr>
        <w:rPr>
          <w:rFonts w:ascii="Arial" w:hAnsi="Arial" w:cs="Arial"/>
        </w:rPr>
      </w:pPr>
      <w:r w:rsidRPr="002435E4">
        <w:rPr>
          <w:rFonts w:ascii="Arial" w:hAnsi="Arial" w:cs="Arial"/>
        </w:rPr>
        <w:t>Yago Souza Araujo – RM 575200</w:t>
      </w:r>
    </w:p>
    <w:p w14:paraId="6A8E8B48" w14:textId="77777777" w:rsidR="002435E4" w:rsidRPr="002435E4" w:rsidRDefault="002435E4">
      <w:pPr>
        <w:rPr>
          <w:rFonts w:ascii="Arial" w:hAnsi="Arial" w:cs="Arial"/>
          <w:lang w:val="pt-BR"/>
        </w:rPr>
      </w:pPr>
    </w:p>
    <w:p w14:paraId="79EF48F8" w14:textId="77777777" w:rsidR="00DE7A6D" w:rsidRPr="00DE7A6D" w:rsidRDefault="00DE7A6D" w:rsidP="00DE7A6D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  <w:t>Relatório Operacional de Pré-Decolagem</w:t>
      </w:r>
    </w:p>
    <w:p w14:paraId="6BCF3A64" w14:textId="77777777" w:rsidR="00DE7A6D" w:rsidRPr="00DE7A6D" w:rsidRDefault="00DE7A6D" w:rsidP="00DE7A6D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Missão Aurora Siger - Fase 1</w:t>
      </w:r>
    </w:p>
    <w:p w14:paraId="0800088A" w14:textId="77777777" w:rsidR="00DE7A6D" w:rsidRPr="00DE7A6D" w:rsidRDefault="00DE7A6D" w:rsidP="00DE7A6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DE7A6D">
        <w:rPr>
          <w:rFonts w:ascii="Arial" w:eastAsia="Times New Roman" w:hAnsi="Arial" w:cs="Times New Roman"/>
          <w:kern w:val="0"/>
          <w14:ligatures w14:val="none"/>
        </w:rPr>
        <w:t>Este documento consolida as verificações necessárias para autorizar ou abortar o lançamento da nave Aurora Siger, bem como as decisões de engenharia, os algoritmos e as reflexões éticas e sustentáveis do projeto.</w:t>
      </w:r>
    </w:p>
    <w:p w14:paraId="04545381" w14:textId="77777777" w:rsidR="00DE7A6D" w:rsidRPr="00DE7A6D" w:rsidRDefault="00DE7A6D" w:rsidP="00DE7A6D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1.1 Organização e descrição da telemetria</w:t>
      </w:r>
    </w:p>
    <w:p w14:paraId="32142646" w14:textId="77777777" w:rsidR="00DE7A6D" w:rsidRPr="00DE7A6D" w:rsidRDefault="00DE7A6D" w:rsidP="00DE7A6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DE7A6D">
        <w:rPr>
          <w:rFonts w:ascii="Arial" w:eastAsia="Times New Roman" w:hAnsi="Arial" w:cs="Times New Roman"/>
          <w:kern w:val="0"/>
          <w14:ligatures w14:val="none"/>
        </w:rPr>
        <w:t>A telemetria da nave Aurora Siger é monitorada de forma contínua, processando sinais vitais para garantir a segurança no pré-lançamento. Os parâmetros e seus limites operacionais seguros são:</w:t>
      </w:r>
    </w:p>
    <w:p w14:paraId="4A0D1DED" w14:textId="77777777" w:rsidR="00DE7A6D" w:rsidRPr="00DE7A6D" w:rsidRDefault="00DE7A6D" w:rsidP="00DE7A6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14:ligatures w14:val="none"/>
        </w:rPr>
        <w:t>Temperatura Interna:</w:t>
      </w:r>
      <w:r w:rsidRPr="00DE7A6D">
        <w:rPr>
          <w:rFonts w:ascii="Arial" w:eastAsia="Times New Roman" w:hAnsi="Arial" w:cs="Times New Roman"/>
          <w:kern w:val="0"/>
          <w14:ligatures w14:val="none"/>
        </w:rPr>
        <w:t xml:space="preserve"> 15°C a 35°C (proteção de hardware e processadores).</w:t>
      </w:r>
    </w:p>
    <w:p w14:paraId="7441E669" w14:textId="77777777" w:rsidR="00DE7A6D" w:rsidRPr="00DE7A6D" w:rsidRDefault="00DE7A6D" w:rsidP="00DE7A6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14:ligatures w14:val="none"/>
        </w:rPr>
        <w:t>Temperatura Externa:</w:t>
      </w:r>
      <w:r w:rsidRPr="00DE7A6D">
        <w:rPr>
          <w:rFonts w:ascii="Arial" w:eastAsia="Times New Roman" w:hAnsi="Arial" w:cs="Times New Roman"/>
          <w:kern w:val="0"/>
          <w14:ligatures w14:val="none"/>
        </w:rPr>
        <w:t xml:space="preserve"> -100°C a 200°C (resistência térmica estrutural do escudo).</w:t>
      </w:r>
    </w:p>
    <w:p w14:paraId="1F3137C4" w14:textId="77777777" w:rsidR="00DE7A6D" w:rsidRPr="00DE7A6D" w:rsidRDefault="00DE7A6D" w:rsidP="00DE7A6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14:ligatures w14:val="none"/>
        </w:rPr>
        <w:t>Integridade Estrutural:</w:t>
      </w:r>
      <w:r w:rsidRPr="00DE7A6D">
        <w:rPr>
          <w:rFonts w:ascii="Arial" w:eastAsia="Times New Roman" w:hAnsi="Arial" w:cs="Times New Roman"/>
          <w:kern w:val="0"/>
          <w14:ligatures w14:val="none"/>
        </w:rPr>
        <w:t xml:space="preserve"> Exigido 1 (0 indica microfissuras ou colapso estrutural).</w:t>
      </w:r>
    </w:p>
    <w:p w14:paraId="3E352A27" w14:textId="77777777" w:rsidR="00DE7A6D" w:rsidRPr="00DE7A6D" w:rsidRDefault="00DE7A6D" w:rsidP="00DE7A6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14:ligatures w14:val="none"/>
        </w:rPr>
        <w:t>Nível de Energia:</w:t>
      </w:r>
      <w:r w:rsidRPr="00DE7A6D">
        <w:rPr>
          <w:rFonts w:ascii="Arial" w:eastAsia="Times New Roman" w:hAnsi="Arial" w:cs="Times New Roman"/>
          <w:kern w:val="0"/>
          <w14:ligatures w14:val="none"/>
        </w:rPr>
        <w:t xml:space="preserve"> Mínimo de 80% (garantia de autonomia para picos de ignição).</w:t>
      </w:r>
    </w:p>
    <w:p w14:paraId="189EECBE" w14:textId="77777777" w:rsidR="00DE7A6D" w:rsidRPr="00DE7A6D" w:rsidRDefault="00DE7A6D" w:rsidP="00DE7A6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14:ligatures w14:val="none"/>
        </w:rPr>
        <w:t>Pressão dos Tanques:</w:t>
      </w:r>
      <w:r w:rsidRPr="00DE7A6D">
        <w:rPr>
          <w:rFonts w:ascii="Arial" w:eastAsia="Times New Roman" w:hAnsi="Arial" w:cs="Times New Roman"/>
          <w:kern w:val="0"/>
          <w14:ligatures w14:val="none"/>
        </w:rPr>
        <w:t xml:space="preserve"> 300 kPa a 500 kPa (vazão correta de propelente).</w:t>
      </w:r>
    </w:p>
    <w:p w14:paraId="23ECEEF2" w14:textId="77777777" w:rsidR="00DE7A6D" w:rsidRPr="00DE7A6D" w:rsidRDefault="00DE7A6D" w:rsidP="00DE7A6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14:ligatures w14:val="none"/>
        </w:rPr>
        <w:t>Status dos Módulos Críticos:</w:t>
      </w:r>
      <w:r w:rsidRPr="00DE7A6D">
        <w:rPr>
          <w:rFonts w:ascii="Arial" w:eastAsia="Times New Roman" w:hAnsi="Arial" w:cs="Times New Roman"/>
          <w:kern w:val="0"/>
          <w14:ligatures w14:val="none"/>
        </w:rPr>
        <w:t xml:space="preserve"> Exigido 1 (subsistemas vitais 100% operacionais).</w:t>
      </w:r>
    </w:p>
    <w:p w14:paraId="53977D0D" w14:textId="77777777" w:rsidR="00DE7A6D" w:rsidRPr="00DE7A6D" w:rsidRDefault="00DE7A6D" w:rsidP="00DE7A6D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1.2 Algoritmo de verificação</w:t>
      </w:r>
    </w:p>
    <w:p w14:paraId="75A52BF8" w14:textId="6C6EC238" w:rsidR="00DE7A6D" w:rsidRDefault="00DE7A6D" w:rsidP="00DE7A6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DE7A6D">
        <w:rPr>
          <w:rFonts w:ascii="Arial" w:eastAsia="Times New Roman" w:hAnsi="Arial" w:cs="Times New Roman"/>
          <w:kern w:val="0"/>
          <w14:ligatures w14:val="none"/>
        </w:rPr>
        <w:t xml:space="preserve">O algoritmo de verificação atua através de desvios condicionais que avaliam os parâmetros capturados contra seus limites seguros de forma independente. Se todos os parâmetros estiverem dentro da faixa, o status final emitido é "PRONTO PARA </w:t>
      </w:r>
      <w:r w:rsidRPr="00DE7A6D">
        <w:rPr>
          <w:rFonts w:ascii="Arial" w:eastAsia="Times New Roman" w:hAnsi="Arial" w:cs="Times New Roman"/>
          <w:kern w:val="0"/>
          <w14:ligatures w14:val="none"/>
        </w:rPr>
        <w:lastRenderedPageBreak/>
        <w:t>DECOLAR". Caso contrário, o lançamento é imediatamente classificado como "DECOLAGEM ABORTADA", e as falhas simultâneas são acumuladas para diagnóstico. A representação visual e a lógica passo a passo desta arquitetura podem ser conferidas</w:t>
      </w:r>
      <w:r>
        <w:rPr>
          <w:rFonts w:ascii="Arial" w:eastAsia="Times New Roman" w:hAnsi="Arial" w:cs="Times New Roman"/>
          <w:kern w:val="0"/>
          <w14:ligatures w14:val="none"/>
        </w:rPr>
        <w:t xml:space="preserve"> abaixo:</w:t>
      </w:r>
    </w:p>
    <w:p w14:paraId="41071F9D" w14:textId="4C903788" w:rsidR="00DE7A6D" w:rsidRPr="00DE7A6D" w:rsidRDefault="00DE7A6D" w:rsidP="00DE7A6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Arial" w:eastAsia="Times New Roman" w:hAnsi="Arial" w:cs="Times New Roman"/>
          <w:noProof/>
          <w:kern w:val="0"/>
        </w:rPr>
        <w:drawing>
          <wp:inline distT="0" distB="0" distL="0" distR="0" wp14:anchorId="53AF48AD" wp14:editId="303C94B6">
            <wp:extent cx="5943600" cy="4945380"/>
            <wp:effectExtent l="0" t="0" r="0" b="0"/>
            <wp:docPr id="166905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51036" name="Picture 16690510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B789" w14:textId="77777777" w:rsidR="00DE7A6D" w:rsidRPr="00DE7A6D" w:rsidRDefault="00DE7A6D" w:rsidP="00DE7A6D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1.3 Script em Python</w:t>
      </w:r>
    </w:p>
    <w:p w14:paraId="5051F8EE" w14:textId="77777777" w:rsidR="00DE7A6D" w:rsidRDefault="00DE7A6D" w:rsidP="00DE7A6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DE7A6D">
        <w:rPr>
          <w:rFonts w:ascii="Arial" w:eastAsia="Times New Roman" w:hAnsi="Arial" w:cs="Times New Roman"/>
          <w:kern w:val="0"/>
          <w14:ligatures w14:val="none"/>
        </w:rPr>
        <w:t xml:space="preserve">O ecossistema embarcado da nave foi simulado computacionalmente através de um script na linguagem Python. Para garantir precisão de processamento autônomo, utilizou-se a biblioteca </w:t>
      </w:r>
      <w:r w:rsidRPr="00DE7A6D">
        <w:rPr>
          <w:rFonts w:ascii="Arial" w:eastAsia="Times New Roman" w:hAnsi="Arial" w:cs="Times New Roman"/>
          <w:i/>
          <w:iCs/>
          <w:kern w:val="0"/>
          <w14:ligatures w14:val="none"/>
        </w:rPr>
        <w:t>Pandas</w:t>
      </w:r>
      <w:r w:rsidRPr="00DE7A6D">
        <w:rPr>
          <w:rFonts w:ascii="Arial" w:eastAsia="Times New Roman" w:hAnsi="Arial" w:cs="Times New Roman"/>
          <w:kern w:val="0"/>
          <w14:ligatures w14:val="none"/>
        </w:rPr>
        <w:t xml:space="preserve"> na extração otimizada dos dados a partir de um dataset em formato </w:t>
      </w:r>
      <w:r w:rsidRPr="00DE7A6D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.csv</w:t>
      </w:r>
      <w:r w:rsidRPr="00DE7A6D">
        <w:rPr>
          <w:rFonts w:ascii="Arial" w:eastAsia="Times New Roman" w:hAnsi="Arial" w:cs="Times New Roman"/>
          <w:kern w:val="0"/>
          <w14:ligatures w14:val="none"/>
        </w:rPr>
        <w:t xml:space="preserve"> (evitando preenchimentos manuais irreais). O script percorre os registros de telemetria aplicando as regras do algoritmo de verificação e exibe os diagnósticos no terminal em tempo real.</w:t>
      </w:r>
    </w:p>
    <w:p w14:paraId="1833CA56" w14:textId="17DBA4EB" w:rsidR="00CB28F0" w:rsidRPr="00CB28F0" w:rsidRDefault="00CB28F0" w:rsidP="00DE7A6D">
      <w:pPr>
        <w:spacing w:after="100" w:afterAutospacing="1" w:line="240" w:lineRule="auto"/>
        <w:rPr>
          <w:rFonts w:ascii="Arial" w:eastAsia="Times New Roman" w:hAnsi="Arial" w:cs="Times New Roman"/>
          <w:b/>
          <w:bCs/>
          <w:kern w:val="0"/>
          <w14:ligatures w14:val="none"/>
        </w:rPr>
      </w:pPr>
      <w:r>
        <w:t>Link GitHub: https://github.com/YagoSDev/Aurora_Siger</w:t>
      </w:r>
    </w:p>
    <w:p w14:paraId="6D45E534" w14:textId="77777777" w:rsidR="002435E4" w:rsidRDefault="002435E4" w:rsidP="00DE7A6D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</w:p>
    <w:p w14:paraId="47E2FFC7" w14:textId="77777777" w:rsidR="002435E4" w:rsidRDefault="002435E4" w:rsidP="00DE7A6D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</w:p>
    <w:p w14:paraId="73C7AD75" w14:textId="2D76F6B3" w:rsidR="00DE7A6D" w:rsidRPr="00DE7A6D" w:rsidRDefault="00DE7A6D" w:rsidP="00DE7A6D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1.4 Análise energética</w:t>
      </w:r>
    </w:p>
    <w:p w14:paraId="4E564A07" w14:textId="77777777" w:rsidR="00DE7A6D" w:rsidRDefault="00DE7A6D" w:rsidP="00DE7A6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DE7A6D">
        <w:rPr>
          <w:rFonts w:ascii="Arial" w:eastAsia="Times New Roman" w:hAnsi="Arial" w:cs="Times New Roman"/>
          <w:kern w:val="0"/>
          <w14:ligatures w14:val="none"/>
        </w:rPr>
        <w:t>A gestão termodinâmica é crucial. Para validar a autonomia energética da missão, foi considerado um banco de baterias com capacidade hipotética de 150 kWh. O pico útil exigido na decolagem foi estimado em 40 kWh e a eficiência do sistema em 90%. Assim, o cálculo modelado encontrou o consumo total bruto de 44,44 kWh, sendo os 4,44 kWh adicionais referentes a perdas térmicas e dissipativas. Em cada iteração, o sistema converte a porcentagem atual da bateria em kWh disponível, abate o consumo e verifica matematicamente a energia restante para pós-decolagem.</w:t>
      </w:r>
    </w:p>
    <w:p w14:paraId="76666E04" w14:textId="77777777" w:rsidR="00607CB0" w:rsidRDefault="00607CB0" w:rsidP="00DE7A6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</w:p>
    <w:p w14:paraId="58DC6594" w14:textId="77777777" w:rsidR="00607CB0" w:rsidRPr="00DE7A6D" w:rsidRDefault="00607CB0" w:rsidP="00607CB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E7A6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Detalhamento do Cálculo de Análise Energética</w:t>
      </w:r>
    </w:p>
    <w:p w14:paraId="1A31C917" w14:textId="77777777" w:rsidR="00607CB0" w:rsidRPr="00DE7A6D" w:rsidRDefault="00607CB0" w:rsidP="00607CB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kern w:val="0"/>
          <w14:ligatures w14:val="none"/>
        </w:rPr>
        <w:t>O cálculo foi dividido em duas fases: a definição das constantes físicas do motor/bateria e a matemática dinâmica aplicada a cada linha de telemetria.</w:t>
      </w:r>
    </w:p>
    <w:p w14:paraId="02FC4788" w14:textId="77777777" w:rsidR="00607CB0" w:rsidRPr="00DE7A6D" w:rsidRDefault="00607CB0" w:rsidP="00607CB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Definição das Constantes Técnicas (Passo Fixo)</w:t>
      </w:r>
    </w:p>
    <w:p w14:paraId="2350ED85" w14:textId="77777777" w:rsidR="00607CB0" w:rsidRPr="00DE7A6D" w:rsidRDefault="00607CB0" w:rsidP="00607CB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kern w:val="0"/>
          <w14:ligatures w14:val="none"/>
        </w:rPr>
        <w:t>Antes de processar os dados, o sistema define as características do banco de baterias e do consumo de decolagem:</w:t>
      </w:r>
    </w:p>
    <w:p w14:paraId="72B4DB3C" w14:textId="77777777" w:rsidR="00607CB0" w:rsidRPr="00DE7A6D" w:rsidRDefault="00607CB0" w:rsidP="00607CB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Capacidade Total (</w:t>
      </w:r>
      <w:r w:rsidRPr="00DE7A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total_capacity</w:t>
      </w: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): 150 kWh</w:t>
      </w:r>
      <w:r w:rsidRPr="00DE7A6D">
        <w:rPr>
          <w:rFonts w:ascii="Arial" w:eastAsia="Times New Roman" w:hAnsi="Arial" w:cs="Arial"/>
          <w:kern w:val="0"/>
          <w14:ligatures w14:val="none"/>
        </w:rPr>
        <w:t>.</w:t>
      </w:r>
    </w:p>
    <w:p w14:paraId="1F4B8E6D" w14:textId="77777777" w:rsidR="00607CB0" w:rsidRPr="00DE7A6D" w:rsidRDefault="00607CB0" w:rsidP="00607CB0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i/>
          <w:iCs/>
          <w:kern w:val="0"/>
          <w14:ligatures w14:val="none"/>
        </w:rPr>
        <w:t>Motivo físico:</w:t>
      </w:r>
      <w:r w:rsidRPr="00DE7A6D">
        <w:rPr>
          <w:rFonts w:ascii="Arial" w:eastAsia="Times New Roman" w:hAnsi="Arial" w:cs="Arial"/>
          <w:kern w:val="0"/>
          <w14:ligatures w14:val="none"/>
        </w:rPr>
        <w:t xml:space="preserve"> Representa um banco de baterias de íon-lítio de alta densidade projetado para sustentar computadores de bordo, telemetria de alta frequência e sistemas inerciais durante o pré-lançamento.</w:t>
      </w:r>
    </w:p>
    <w:p w14:paraId="30A3A837" w14:textId="77777777" w:rsidR="00607CB0" w:rsidRPr="00DE7A6D" w:rsidRDefault="00607CB0" w:rsidP="00607CB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Consumo Útil Estimado (</w:t>
      </w:r>
      <w:r w:rsidRPr="00DE7A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estimated_consumption</w:t>
      </w: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): 40 kWh</w:t>
      </w:r>
      <w:r w:rsidRPr="00DE7A6D">
        <w:rPr>
          <w:rFonts w:ascii="Arial" w:eastAsia="Times New Roman" w:hAnsi="Arial" w:cs="Arial"/>
          <w:kern w:val="0"/>
          <w14:ligatures w14:val="none"/>
        </w:rPr>
        <w:t>.</w:t>
      </w:r>
    </w:p>
    <w:p w14:paraId="11791DCD" w14:textId="77777777" w:rsidR="00607CB0" w:rsidRPr="00DE7A6D" w:rsidRDefault="00607CB0" w:rsidP="00607CB0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i/>
          <w:iCs/>
          <w:kern w:val="0"/>
          <w14:ligatures w14:val="none"/>
        </w:rPr>
        <w:t>Motivo físico:</w:t>
      </w:r>
      <w:r w:rsidRPr="00DE7A6D">
        <w:rPr>
          <w:rFonts w:ascii="Arial" w:eastAsia="Times New Roman" w:hAnsi="Arial" w:cs="Arial"/>
          <w:kern w:val="0"/>
          <w14:ligatures w14:val="none"/>
        </w:rPr>
        <w:t xml:space="preserve"> É o pico instantâneo de energia exigido para acionar os ignitores, pressurizar tanques e fechar válvulas principais no momento do empuxo.</w:t>
      </w:r>
    </w:p>
    <w:p w14:paraId="6E78F073" w14:textId="77777777" w:rsidR="00607CB0" w:rsidRDefault="00607CB0" w:rsidP="00607CB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Eficiência do Sistema (</w:t>
      </w:r>
      <w:r w:rsidRPr="00DE7A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efficiency</w:t>
      </w: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): 0.90 (90%)</w:t>
      </w:r>
      <w:r w:rsidRPr="00DE7A6D">
        <w:rPr>
          <w:rFonts w:ascii="Arial" w:eastAsia="Times New Roman" w:hAnsi="Arial" w:cs="Arial"/>
          <w:kern w:val="0"/>
          <w14:ligatures w14:val="none"/>
        </w:rPr>
        <w:t>.</w:t>
      </w:r>
    </w:p>
    <w:p w14:paraId="30AD67B6" w14:textId="77777777" w:rsidR="00607CB0" w:rsidRPr="00DE7A6D" w:rsidRDefault="00607CB0" w:rsidP="00607CB0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0770753B" w14:textId="77777777" w:rsidR="00607CB0" w:rsidRPr="00DE7A6D" w:rsidRDefault="00607CB0" w:rsidP="00607CB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Cálculo de Perdas e Consumo Real (Termodinâmica)</w:t>
      </w:r>
    </w:p>
    <w:p w14:paraId="004E102F" w14:textId="77777777" w:rsidR="00607CB0" w:rsidRPr="00DE7A6D" w:rsidRDefault="00607CB0" w:rsidP="00607CB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kern w:val="0"/>
          <w14:ligatures w14:val="none"/>
        </w:rPr>
        <w:t xml:space="preserve">Com base na Primeira Lei da Termodinâmica e no Efeito Joule, sabemos que circuitos dissipam calor. O código calcula essas perdas antes da decolagem: </w:t>
      </w:r>
    </w:p>
    <w:p w14:paraId="4DCF93F2" w14:textId="77777777" w:rsidR="00607CB0" w:rsidRPr="00DE7A6D" w:rsidRDefault="00607CB0" w:rsidP="00607CB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Consumo Total Real:</w:t>
      </w:r>
      <w:r w:rsidRPr="00DE7A6D">
        <w:rPr>
          <w:rFonts w:ascii="Arial" w:eastAsia="Times New Roman" w:hAnsi="Arial" w:cs="Arial"/>
          <w:kern w:val="0"/>
          <w14:ligatures w14:val="none"/>
        </w:rPr>
        <w:t xml:space="preserve"> Calculado pela divisão do consumo útil pela eficiência da nave (</w:t>
      </w:r>
      <w:r w:rsidRPr="00DE7A6D">
        <w:rPr>
          <w:rFonts w:ascii="Arial" w:eastAsia="Times New Roman" w:hAnsi="Arial" w:cs="Arial"/>
          <w:kern w:val="0"/>
          <w:sz w:val="20"/>
          <w:szCs w:val="20"/>
          <w14:ligatures w14:val="none"/>
        </w:rPr>
        <w:t>40 / 0.90</w:t>
      </w:r>
      <w:r w:rsidRPr="00DE7A6D">
        <w:rPr>
          <w:rFonts w:ascii="Arial" w:eastAsia="Times New Roman" w:hAnsi="Arial" w:cs="Arial"/>
          <w:kern w:val="0"/>
          <w14:ligatures w14:val="none"/>
        </w:rPr>
        <w:t xml:space="preserve">). O resultado é de </w:t>
      </w: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44,44 kWh</w:t>
      </w:r>
      <w:r w:rsidRPr="00DE7A6D">
        <w:rPr>
          <w:rFonts w:ascii="Arial" w:eastAsia="Times New Roman" w:hAnsi="Arial" w:cs="Arial"/>
          <w:kern w:val="0"/>
          <w14:ligatures w14:val="none"/>
        </w:rPr>
        <w:t>.</w:t>
      </w:r>
    </w:p>
    <w:p w14:paraId="2F6B7F96" w14:textId="77777777" w:rsidR="00607CB0" w:rsidRPr="00DE7A6D" w:rsidRDefault="00607CB0" w:rsidP="00607CB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Perdas Energéticas:</w:t>
      </w:r>
      <w:r w:rsidRPr="00DE7A6D">
        <w:rPr>
          <w:rFonts w:ascii="Arial" w:eastAsia="Times New Roman" w:hAnsi="Arial" w:cs="Arial"/>
          <w:kern w:val="0"/>
          <w14:ligatures w14:val="none"/>
        </w:rPr>
        <w:t xml:space="preserve"> Subtraindo o consumo útil do consumo total real (</w:t>
      </w:r>
      <w:r w:rsidRPr="00DE7A6D">
        <w:rPr>
          <w:rFonts w:ascii="Arial" w:eastAsia="Times New Roman" w:hAnsi="Arial" w:cs="Arial"/>
          <w:kern w:val="0"/>
          <w:sz w:val="20"/>
          <w:szCs w:val="20"/>
          <w14:ligatures w14:val="none"/>
        </w:rPr>
        <w:t>44,44 - 40</w:t>
      </w:r>
      <w:r w:rsidRPr="00DE7A6D">
        <w:rPr>
          <w:rFonts w:ascii="Arial" w:eastAsia="Times New Roman" w:hAnsi="Arial" w:cs="Arial"/>
          <w:kern w:val="0"/>
          <w14:ligatures w14:val="none"/>
        </w:rPr>
        <w:t xml:space="preserve">), encontramos as perdas. O resultado é de </w:t>
      </w: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4,44 kWh</w:t>
      </w:r>
      <w:r w:rsidRPr="00DE7A6D">
        <w:rPr>
          <w:rFonts w:ascii="Arial" w:eastAsia="Times New Roman" w:hAnsi="Arial" w:cs="Arial"/>
          <w:kern w:val="0"/>
          <w14:ligatures w14:val="none"/>
        </w:rPr>
        <w:t>, que representa o calor dissipado de forma irreversível nos condutores e conversores.</w:t>
      </w:r>
    </w:p>
    <w:p w14:paraId="4A0A6918" w14:textId="77777777" w:rsidR="00607CB0" w:rsidRPr="00DE7A6D" w:rsidRDefault="00607CB0" w:rsidP="00607CB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Cálculo Dinâmico da Autonomia (A cada leitura do CSV)</w:t>
      </w:r>
    </w:p>
    <w:p w14:paraId="0C6EA220" w14:textId="77777777" w:rsidR="00607CB0" w:rsidRPr="00DE7A6D" w:rsidRDefault="00607CB0" w:rsidP="00607CB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kern w:val="0"/>
          <w14:ligatures w14:val="none"/>
        </w:rPr>
        <w:t>Dentro do laço de repetição, o sistema pega a porcentagem atual da bateria (</w:t>
      </w:r>
      <w:r w:rsidRPr="00DE7A6D">
        <w:rPr>
          <w:rFonts w:ascii="Arial" w:eastAsia="Times New Roman" w:hAnsi="Arial" w:cs="Arial"/>
          <w:kern w:val="0"/>
          <w:sz w:val="20"/>
          <w:szCs w:val="20"/>
          <w14:ligatures w14:val="none"/>
        </w:rPr>
        <w:t>energy_level</w:t>
      </w:r>
      <w:r w:rsidRPr="00DE7A6D">
        <w:rPr>
          <w:rFonts w:ascii="Arial" w:eastAsia="Times New Roman" w:hAnsi="Arial" w:cs="Arial"/>
          <w:kern w:val="0"/>
          <w14:ligatures w14:val="none"/>
        </w:rPr>
        <w:t>) e aplica a fórmula final:</w:t>
      </w:r>
    </w:p>
    <w:p w14:paraId="0B4E6864" w14:textId="77777777" w:rsidR="00607CB0" w:rsidRPr="00DE7A6D" w:rsidRDefault="00607CB0" w:rsidP="00607CB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Energia Disponível =</w:t>
      </w:r>
      <w:r w:rsidRPr="00DE7A6D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E7A6D">
        <w:rPr>
          <w:rFonts w:ascii="Arial" w:eastAsia="Times New Roman" w:hAnsi="Arial" w:cs="Arial"/>
          <w:kern w:val="0"/>
          <w:sz w:val="20"/>
          <w:szCs w:val="20"/>
          <w14:ligatures w14:val="none"/>
        </w:rPr>
        <w:t>(total_capacity * energy_level) / 100</w:t>
      </w:r>
      <w:r w:rsidRPr="00DE7A6D">
        <w:rPr>
          <w:rFonts w:ascii="Arial" w:eastAsia="Times New Roman" w:hAnsi="Arial" w:cs="Arial"/>
          <w:kern w:val="0"/>
          <w14:ligatures w14:val="none"/>
        </w:rPr>
        <w:t>.</w:t>
      </w:r>
    </w:p>
    <w:p w14:paraId="5A0771BC" w14:textId="77777777" w:rsidR="00607CB0" w:rsidRPr="00DE7A6D" w:rsidRDefault="00607CB0" w:rsidP="00607CB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7A6D">
        <w:rPr>
          <w:rFonts w:ascii="Arial" w:eastAsia="Times New Roman" w:hAnsi="Arial" w:cs="Arial"/>
          <w:b/>
          <w:bCs/>
          <w:kern w:val="0"/>
          <w14:ligatures w14:val="none"/>
        </w:rPr>
        <w:t>Autonomia Restante =</w:t>
      </w:r>
      <w:r w:rsidRPr="00DE7A6D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E7A6D">
        <w:rPr>
          <w:rFonts w:ascii="Arial" w:eastAsia="Times New Roman" w:hAnsi="Arial" w:cs="Arial"/>
          <w:kern w:val="0"/>
          <w:sz w:val="20"/>
          <w:szCs w:val="20"/>
          <w14:ligatures w14:val="none"/>
        </w:rPr>
        <w:t>Energia Disponível - Consumo Total Real</w:t>
      </w:r>
      <w:r w:rsidRPr="00DE7A6D">
        <w:rPr>
          <w:rFonts w:ascii="Arial" w:eastAsia="Times New Roman" w:hAnsi="Arial" w:cs="Arial"/>
          <w:kern w:val="0"/>
          <w14:ligatures w14:val="none"/>
        </w:rPr>
        <w:t>.</w:t>
      </w:r>
    </w:p>
    <w:p w14:paraId="1C468802" w14:textId="77777777" w:rsidR="00607CB0" w:rsidRPr="00DE7A6D" w:rsidRDefault="00607CB0" w:rsidP="00DE7A6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</w:p>
    <w:p w14:paraId="5F62D75E" w14:textId="77777777" w:rsidR="00DE7A6D" w:rsidRPr="00DE7A6D" w:rsidRDefault="00DE7A6D" w:rsidP="00DE7A6D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1.5 Análise assistida por IA</w:t>
      </w:r>
    </w:p>
    <w:p w14:paraId="6DED0F68" w14:textId="77777777" w:rsidR="00DE7A6D" w:rsidRDefault="00DE7A6D" w:rsidP="00DE7A6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DE7A6D">
        <w:rPr>
          <w:rFonts w:ascii="Arial" w:eastAsia="Times New Roman" w:hAnsi="Arial" w:cs="Times New Roman"/>
          <w:kern w:val="0"/>
          <w14:ligatures w14:val="none"/>
        </w:rPr>
        <w:t>Como um diferencial na arquitetura, o software conta com a integração da API do Google Gemini (modelo gemini-3.5-flash-lite). A inteligência artificial é invocada de forma programática toda vez que a decolagem é abortada, recendo o conjunto anômalo de dados. O modelo atua no suporte, analisando e devolvendo, em tempo de execução, um laudo estruturado contendo a Classificação de risco (Atenção/Crítico), as causas das Anomalias, os Riscos operacionais e a Recomendação técnica direcionada à equipe de engenharia.</w:t>
      </w:r>
    </w:p>
    <w:p w14:paraId="0143DB67" w14:textId="77777777" w:rsidR="00DE7A6D" w:rsidRPr="00DE7A6D" w:rsidRDefault="00DE7A6D" w:rsidP="00DE7A6D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</w:p>
    <w:p w14:paraId="3A74F5F4" w14:textId="77777777" w:rsidR="00DE7A6D" w:rsidRPr="00DE7A6D" w:rsidRDefault="00DE7A6D" w:rsidP="00DE7A6D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DE7A6D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1.6 Reflexão Crítica</w:t>
      </w:r>
    </w:p>
    <w:p w14:paraId="13D4D1CD" w14:textId="77777777" w:rsidR="002435E4" w:rsidRDefault="002435E4">
      <w:pPr>
        <w:rPr>
          <w:rFonts w:ascii="Arial" w:hAnsi="Arial" w:cs="Arial"/>
          <w:bdr w:val="none" w:sz="0" w:space="0" w:color="auto" w:frame="1"/>
        </w:rPr>
      </w:pPr>
      <w:r>
        <w:t xml:space="preserve">Ética e responsabilidade. Em sistemas críticos, a automação deve ser explicável, confiável e auditável. A Inteligência Artificial pode auxiliar na identificação de anomalias e na análise dos dados, mas as regras de segurança e a decisão final devem permanecer sob responsabilidade humana e institucional. Dessa forma, evita-se que uma previsão incorreta da IA coloque a missão, os equipamentos ou pessoas em risco. </w:t>
      </w:r>
    </w:p>
    <w:p w14:paraId="0CC2427E" w14:textId="77777777" w:rsidR="002435E4" w:rsidRDefault="002435E4">
      <w:pPr>
        <w:rPr>
          <w:rFonts w:ascii="Arial" w:hAnsi="Arial" w:cs="Arial"/>
          <w:bdr w:val="none" w:sz="0" w:space="0" w:color="auto" w:frame="1"/>
        </w:rPr>
      </w:pPr>
      <w:r w:rsidRPr="002435E4">
        <w:rPr>
          <w:rStyle w:val="Strong"/>
          <w:rFonts w:ascii="Arial" w:hAnsi="Arial" w:cs="Arial"/>
          <w:bdr w:val="none" w:sz="0" w:space="0" w:color="auto" w:frame="1"/>
        </w:rPr>
        <w:t>Impacto social.</w:t>
      </w:r>
      <w:r w:rsidRPr="002435E4">
        <w:rPr>
          <w:rFonts w:ascii="Arial" w:hAnsi="Arial" w:cs="Arial"/>
          <w:bdr w:val="none" w:sz="0" w:space="0" w:color="auto" w:frame="1"/>
        </w:rPr>
        <w:t xml:space="preserve"> A exploração espacial pode trazer benefícios importantes para a sociedade, contribuindo para avanços científicos, comunicação, navegação, previsão do tempo e monitoramento ambiental. Entretanto, essas atividades também exigem grandes investimentos financeiros, tecnológicos e energéticos. Por isso, é importante avaliar se os benefícios gerados justificam os recursos utilizados e como essas tecnologias podem contribuir para a sociedade. </w:t>
      </w:r>
    </w:p>
    <w:p w14:paraId="55B91BB8" w14:textId="77777777" w:rsidR="002435E4" w:rsidRDefault="002435E4">
      <w:pPr>
        <w:rPr>
          <w:rFonts w:ascii="Arial" w:hAnsi="Arial" w:cs="Arial"/>
          <w:bdr w:val="none" w:sz="0" w:space="0" w:color="auto" w:frame="1"/>
        </w:rPr>
      </w:pPr>
      <w:r w:rsidRPr="002435E4">
        <w:rPr>
          <w:rStyle w:val="Strong"/>
          <w:rFonts w:ascii="Arial" w:hAnsi="Arial" w:cs="Arial"/>
          <w:bdr w:val="none" w:sz="0" w:space="0" w:color="auto" w:frame="1"/>
        </w:rPr>
        <w:t>Impacto ambiental e sobre os animais.</w:t>
      </w:r>
      <w:r w:rsidRPr="002435E4">
        <w:rPr>
          <w:rFonts w:ascii="Arial" w:hAnsi="Arial" w:cs="Arial"/>
          <w:bdr w:val="none" w:sz="0" w:space="0" w:color="auto" w:frame="1"/>
        </w:rPr>
        <w:t xml:space="preserve"> Lançamentos espaciais podem causar impactos no meio ambiente, como emissão de gases, poluição sonora e geração de resíduos. O ruído intenso e as alterações provocadas nas regiões próximas às bases de lançamento também podem afetar animais, especialmente aves e outras espécies sensíveis ao som e às mudanças em seu habitat. Além disso, componentes descartados durante missões podem atingir oceanos ou outras áreas naturais. Por </w:t>
      </w:r>
      <w:r w:rsidRPr="002435E4">
        <w:rPr>
          <w:rFonts w:ascii="Arial" w:hAnsi="Arial" w:cs="Arial"/>
          <w:bdr w:val="none" w:sz="0" w:space="0" w:color="auto" w:frame="1"/>
        </w:rPr>
        <w:lastRenderedPageBreak/>
        <w:t xml:space="preserve">esse motivo, locais e métodos de lançamento devem ser planejados buscando reduzir danos à fauna, à flora e aos ecossistemas. </w:t>
      </w:r>
    </w:p>
    <w:p w14:paraId="16850A58" w14:textId="77777777" w:rsidR="002435E4" w:rsidRDefault="002435E4">
      <w:pPr>
        <w:rPr>
          <w:rFonts w:ascii="Arial" w:hAnsi="Arial" w:cs="Arial"/>
          <w:bdr w:val="none" w:sz="0" w:space="0" w:color="auto" w:frame="1"/>
        </w:rPr>
      </w:pPr>
      <w:r w:rsidRPr="002435E4">
        <w:rPr>
          <w:rStyle w:val="Strong"/>
          <w:rFonts w:ascii="Arial" w:hAnsi="Arial" w:cs="Arial"/>
          <w:bdr w:val="none" w:sz="0" w:space="0" w:color="auto" w:frame="1"/>
        </w:rPr>
        <w:t>Sustentabilidade.</w:t>
      </w:r>
      <w:r w:rsidRPr="002435E4">
        <w:rPr>
          <w:rFonts w:ascii="Arial" w:hAnsi="Arial" w:cs="Arial"/>
          <w:bdr w:val="none" w:sz="0" w:space="0" w:color="auto" w:frame="1"/>
        </w:rPr>
        <w:t xml:space="preserve"> A análise das perdas energéticas realizada no projeto contribui para identificar desperdícios e melhorar a eficiência do sistema. Em aplicações reais, a sustentabilidade também envolve reduzir o consumo de recursos, aumentar a vida útil dos equipamentos, utilizar fontes de energia mais limpas, reaproveitar componentes quando possível e realizar a destinação adequada de resíduos eletrônicos e materiais utilizados nas missões. </w:t>
      </w:r>
    </w:p>
    <w:p w14:paraId="3C5B106B" w14:textId="396944E6" w:rsidR="00DE7A6D" w:rsidRDefault="002435E4">
      <w:pPr>
        <w:rPr>
          <w:rFonts w:ascii="Arial" w:hAnsi="Arial" w:cs="Arial"/>
          <w:bdr w:val="none" w:sz="0" w:space="0" w:color="auto" w:frame="1"/>
        </w:rPr>
      </w:pPr>
      <w:r w:rsidRPr="002435E4">
        <w:rPr>
          <w:rStyle w:val="Strong"/>
          <w:rFonts w:ascii="Arial" w:hAnsi="Arial" w:cs="Arial"/>
          <w:bdr w:val="none" w:sz="0" w:space="0" w:color="auto" w:frame="1"/>
        </w:rPr>
        <w:t>Uso responsável de IA.</w:t>
      </w:r>
      <w:r w:rsidRPr="002435E4">
        <w:rPr>
          <w:rFonts w:ascii="Arial" w:hAnsi="Arial" w:cs="Arial"/>
          <w:bdr w:val="none" w:sz="0" w:space="0" w:color="auto" w:frame="1"/>
        </w:rPr>
        <w:t xml:space="preserve"> Neste projeto, a IA atua como uma ferramenta de apoio e não possui autoridade para liberar uma decolagem. As verificações determinísticas continuam sendo responsáveis por identificar condições que violem os limites de segurança. Essa separação é importante porque modelos de IA podem apresentar erros ou classificações imprecisas. Assim, a tecnologia complementa a análise sem substituir critérios objetivos de segurança e a supervisão humana.</w:t>
      </w:r>
    </w:p>
    <w:p w14:paraId="07606A56" w14:textId="77777777" w:rsidR="005421C1" w:rsidRDefault="005421C1">
      <w:pPr>
        <w:rPr>
          <w:rFonts w:ascii="Arial" w:hAnsi="Arial" w:cs="Arial"/>
          <w:bdr w:val="none" w:sz="0" w:space="0" w:color="auto" w:frame="1"/>
        </w:rPr>
      </w:pPr>
    </w:p>
    <w:p w14:paraId="4D542C09" w14:textId="1FEBA106" w:rsidR="005421C1" w:rsidRPr="005421C1" w:rsidRDefault="005421C1">
      <w:pPr>
        <w:rPr>
          <w:rFonts w:ascii="Arial" w:hAnsi="Arial" w:cs="Arial"/>
          <w:b/>
          <w:bCs/>
          <w:bdr w:val="none" w:sz="0" w:space="0" w:color="auto" w:frame="1"/>
        </w:rPr>
      </w:pPr>
      <w:r w:rsidRPr="005421C1">
        <w:rPr>
          <w:rFonts w:ascii="Arial" w:hAnsi="Arial" w:cs="Arial"/>
          <w:b/>
          <w:bCs/>
          <w:bdr w:val="none" w:sz="0" w:space="0" w:color="auto" w:frame="1"/>
        </w:rPr>
        <w:t>Bibliografias:</w:t>
      </w:r>
    </w:p>
    <w:p w14:paraId="1C0C35C7" w14:textId="470D2AE3" w:rsidR="005421C1" w:rsidRDefault="005421C1">
      <w:pPr>
        <w:rPr>
          <w:rFonts w:ascii="Arial" w:hAnsi="Arial" w:cs="Arial"/>
        </w:rPr>
      </w:pPr>
      <w:hyperlink r:id="rId8" w:history="1">
        <w:r w:rsidRPr="004345F9">
          <w:rPr>
            <w:rStyle w:val="Hyperlink"/>
            <w:rFonts w:ascii="Arial" w:hAnsi="Arial" w:cs="Arial"/>
          </w:rPr>
          <w:t>https://aistudio.google.com/api-keys</w:t>
        </w:r>
      </w:hyperlink>
    </w:p>
    <w:p w14:paraId="2FFF6C03" w14:textId="4A98AD3B" w:rsidR="005421C1" w:rsidRDefault="005421C1">
      <w:pPr>
        <w:rPr>
          <w:rFonts w:ascii="Arial" w:hAnsi="Arial" w:cs="Arial"/>
        </w:rPr>
      </w:pPr>
      <w:hyperlink r:id="rId9" w:history="1">
        <w:r w:rsidRPr="004345F9">
          <w:rPr>
            <w:rStyle w:val="Hyperlink"/>
            <w:rFonts w:ascii="Arial" w:hAnsi="Arial" w:cs="Arial"/>
          </w:rPr>
          <w:t>https://ai.google.dev/gemini-api/docs?hl=pt-br</w:t>
        </w:r>
      </w:hyperlink>
    </w:p>
    <w:p w14:paraId="2B3709D3" w14:textId="77777777" w:rsidR="005421C1" w:rsidRPr="002435E4" w:rsidRDefault="005421C1">
      <w:pPr>
        <w:rPr>
          <w:rFonts w:ascii="Arial" w:hAnsi="Arial" w:cs="Arial"/>
        </w:rPr>
      </w:pPr>
    </w:p>
    <w:sectPr w:rsidR="005421C1" w:rsidRPr="002435E4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56ABFB" w14:textId="77777777" w:rsidR="0055398C" w:rsidRDefault="0055398C" w:rsidP="002435E4">
      <w:pPr>
        <w:spacing w:after="0" w:line="240" w:lineRule="auto"/>
      </w:pPr>
      <w:r>
        <w:separator/>
      </w:r>
    </w:p>
  </w:endnote>
  <w:endnote w:type="continuationSeparator" w:id="0">
    <w:p w14:paraId="57DEA1BB" w14:textId="77777777" w:rsidR="0055398C" w:rsidRDefault="0055398C" w:rsidP="00243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0B5123" w14:textId="77777777" w:rsidR="0055398C" w:rsidRDefault="0055398C" w:rsidP="002435E4">
      <w:pPr>
        <w:spacing w:after="0" w:line="240" w:lineRule="auto"/>
      </w:pPr>
      <w:r>
        <w:separator/>
      </w:r>
    </w:p>
  </w:footnote>
  <w:footnote w:type="continuationSeparator" w:id="0">
    <w:p w14:paraId="7BBFFE8B" w14:textId="77777777" w:rsidR="0055398C" w:rsidRDefault="0055398C" w:rsidP="00243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AC270" w14:textId="34A35EF4" w:rsidR="002435E4" w:rsidRDefault="002435E4" w:rsidP="002435E4">
    <w:pPr>
      <w:pStyle w:val="Header"/>
      <w:jc w:val="center"/>
      <w:rPr>
        <w:lang w:val="en-US"/>
      </w:rPr>
    </w:pPr>
    <w:r>
      <w:rPr>
        <w:lang w:val="en-US"/>
      </w:rPr>
      <w:t>FIAP – ATIVIDADE – FASE 1</w:t>
    </w:r>
  </w:p>
  <w:p w14:paraId="200F9771" w14:textId="77777777" w:rsidR="002435E4" w:rsidRPr="002435E4" w:rsidRDefault="002435E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61A79"/>
    <w:multiLevelType w:val="multilevel"/>
    <w:tmpl w:val="1C90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7DF4"/>
    <w:multiLevelType w:val="multilevel"/>
    <w:tmpl w:val="797C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9724E"/>
    <w:multiLevelType w:val="multilevel"/>
    <w:tmpl w:val="E3B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F549E"/>
    <w:multiLevelType w:val="multilevel"/>
    <w:tmpl w:val="1534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167965">
    <w:abstractNumId w:val="0"/>
  </w:num>
  <w:num w:numId="2" w16cid:durableId="1927184083">
    <w:abstractNumId w:val="1"/>
  </w:num>
  <w:num w:numId="3" w16cid:durableId="1939872401">
    <w:abstractNumId w:val="2"/>
  </w:num>
  <w:num w:numId="4" w16cid:durableId="176942904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6D"/>
    <w:rsid w:val="002435E4"/>
    <w:rsid w:val="005421C1"/>
    <w:rsid w:val="0055398C"/>
    <w:rsid w:val="005E2185"/>
    <w:rsid w:val="00607CB0"/>
    <w:rsid w:val="008E1336"/>
    <w:rsid w:val="00AA37E4"/>
    <w:rsid w:val="00CB28F0"/>
    <w:rsid w:val="00DC3E51"/>
    <w:rsid w:val="00DE7A6D"/>
    <w:rsid w:val="00EB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2FC3F5"/>
  <w15:chartTrackingRefBased/>
  <w15:docId w15:val="{CC574811-1020-7344-899C-BFE36262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7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7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A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7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7A6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435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5E4"/>
  </w:style>
  <w:style w:type="paragraph" w:styleId="Footer">
    <w:name w:val="footer"/>
    <w:basedOn w:val="Normal"/>
    <w:link w:val="FooterChar"/>
    <w:uiPriority w:val="99"/>
    <w:unhideWhenUsed/>
    <w:rsid w:val="002435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5E4"/>
  </w:style>
  <w:style w:type="character" w:styleId="Strong">
    <w:name w:val="Strong"/>
    <w:basedOn w:val="DefaultParagraphFont"/>
    <w:uiPriority w:val="22"/>
    <w:qFormat/>
    <w:rsid w:val="002435E4"/>
    <w:rPr>
      <w:b/>
      <w:bCs/>
    </w:rPr>
  </w:style>
  <w:style w:type="character" w:styleId="Hyperlink">
    <w:name w:val="Hyperlink"/>
    <w:basedOn w:val="DefaultParagraphFont"/>
    <w:uiPriority w:val="99"/>
    <w:unhideWhenUsed/>
    <w:rsid w:val="005421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istudio.google.com/api-key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i.google.dev/gemini-api/docs?hl=pt-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1127</Words>
  <Characters>6543</Characters>
  <Application>Microsoft Office Word</Application>
  <DocSecurity>0</DocSecurity>
  <Lines>130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Alcantara</dc:creator>
  <cp:keywords/>
  <dc:description/>
  <cp:lastModifiedBy>Henrique Alcantara</cp:lastModifiedBy>
  <cp:revision>5</cp:revision>
  <cp:lastPrinted>2026-09-11T21:01:00Z</cp:lastPrinted>
  <dcterms:created xsi:type="dcterms:W3CDTF">2026-09-11T21:01:00Z</dcterms:created>
  <dcterms:modified xsi:type="dcterms:W3CDTF">2026-09-11T23:07:00Z</dcterms:modified>
</cp:coreProperties>
</file>