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C10D70"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C10D70"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C10D70"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C10D70"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C10D70"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C10D70"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Default="005C7A70" w:rsidP="000341FE">
      <w:pPr>
        <w:pStyle w:val="Prrafodelista"/>
        <w:numPr>
          <w:ilvl w:val="0"/>
          <w:numId w:val="4"/>
        </w:numPr>
      </w:pPr>
      <w:r>
        <w:t>C002 – Fusión de documentos</w:t>
      </w:r>
    </w:p>
    <w:p w:rsidR="005C7A70" w:rsidRPr="000341FE" w:rsidRDefault="005C7A70" w:rsidP="000341FE">
      <w:pPr>
        <w:pStyle w:val="Prrafodelista"/>
        <w:numPr>
          <w:ilvl w:val="0"/>
          <w:numId w:val="4"/>
        </w:numPr>
      </w:pPr>
      <w:r>
        <w:t>C003 – Cambio en documentos</w:t>
      </w:r>
      <w:bookmarkStart w:id="6" w:name="_GoBack"/>
      <w:bookmarkEnd w:id="6"/>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D70" w:rsidRDefault="00C10D70">
      <w:pPr>
        <w:spacing w:line="240" w:lineRule="auto"/>
      </w:pPr>
      <w:r>
        <w:separator/>
      </w:r>
    </w:p>
  </w:endnote>
  <w:endnote w:type="continuationSeparator" w:id="0">
    <w:p w:rsidR="00C10D70" w:rsidRDefault="00C10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5C7A70">
          <w:rPr>
            <w:noProof/>
          </w:rPr>
          <w:t>3</w:t>
        </w:r>
        <w:r>
          <w:fldChar w:fldCharType="end"/>
        </w:r>
      </w:p>
    </w:sdtContent>
  </w:sdt>
  <w:p w:rsidR="00A748A6" w:rsidRDefault="00A74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D70" w:rsidRDefault="00C10D70">
      <w:pPr>
        <w:spacing w:line="240" w:lineRule="auto"/>
      </w:pPr>
      <w:r>
        <w:separator/>
      </w:r>
    </w:p>
  </w:footnote>
  <w:footnote w:type="continuationSeparator" w:id="0">
    <w:p w:rsidR="00C10D70" w:rsidRDefault="00C10D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32279B"/>
    <w:rsid w:val="0037757E"/>
    <w:rsid w:val="005C7A70"/>
    <w:rsid w:val="00805BCF"/>
    <w:rsid w:val="00A748A6"/>
    <w:rsid w:val="00C10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CE2B"/>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48C4-45F7-4F58-AEE9-81451F5C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657</Words>
  <Characters>3617</Characters>
  <Application>Microsoft Office Word</Application>
  <DocSecurity>0</DocSecurity>
  <Lines>30</Lines>
  <Paragraphs>8</Paragraphs>
  <ScaleCrop>false</ScaleCrop>
  <Company>m</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Fontenla Seco</cp:lastModifiedBy>
  <cp:revision>5</cp:revision>
  <dcterms:created xsi:type="dcterms:W3CDTF">2016-10-13T20:08:00Z</dcterms:created>
  <dcterms:modified xsi:type="dcterms:W3CDTF">2016-10-16T13:49:00Z</dcterms:modified>
</cp:coreProperties>
</file>