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jc w:val="center"/>
      </w:pPr>
      <w:bookmarkStart w:colFirst="0" w:colLast="0" w:name="h.xyffqjj945vy"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276" w:lineRule="auto"/>
        <w:contextualSpacing w:val="0"/>
        <w:jc w:val="center"/>
      </w:pPr>
      <w:bookmarkStart w:colFirst="0" w:colLast="0" w:name="h.o3ne8mtkixc9" w:id="1"/>
      <w:bookmarkEnd w:id="1"/>
      <w:r w:rsidDel="00000000" w:rsidR="00000000" w:rsidRPr="00000000">
        <w:rPr>
          <w:rtl w:val="0"/>
        </w:rPr>
        <w:t xml:space="preserve">GESTIÓN DE PROYECTOS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pStyle w:val="Title"/>
        <w:spacing w:line="276" w:lineRule="auto"/>
        <w:contextualSpacing w:val="0"/>
        <w:jc w:val="center"/>
      </w:pPr>
      <w:bookmarkStart w:colFirst="0" w:colLast="0" w:name="h.gxrt9vf4py7g" w:id="2"/>
      <w:bookmarkEnd w:id="2"/>
      <w:r w:rsidDel="00000000" w:rsidR="00000000" w:rsidRPr="00000000">
        <w:rPr>
          <w:rtl w:val="0"/>
        </w:rPr>
        <w:t xml:space="preserve">DOCUMENTO DE PRÁCTICA</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t xml:space="preserve">MIEMBROS DEL GRUPO:</w:t>
        <w:tab/>
        <w:tab/>
        <w:t xml:space="preserve">Fabiola Candela Mosquera Barreira</w:t>
      </w:r>
    </w:p>
    <w:p w:rsidR="00000000" w:rsidDel="00000000" w:rsidP="00000000" w:rsidRDefault="00000000" w:rsidRPr="00000000">
      <w:pPr>
        <w:spacing w:line="276" w:lineRule="auto"/>
        <w:contextualSpacing w:val="0"/>
        <w:jc w:val="left"/>
      </w:pPr>
      <w:r w:rsidDel="00000000" w:rsidR="00000000" w:rsidRPr="00000000">
        <w:rPr>
          <w:rtl w:val="0"/>
        </w:rPr>
        <w:tab/>
        <w:tab/>
        <w:tab/>
        <w:tab/>
        <w:tab/>
        <w:t xml:space="preserve">Eduardo Bautís García</w:t>
      </w:r>
    </w:p>
    <w:p w:rsidR="00000000" w:rsidDel="00000000" w:rsidP="00000000" w:rsidRDefault="00000000" w:rsidRPr="00000000">
      <w:pPr>
        <w:spacing w:line="276" w:lineRule="auto"/>
        <w:contextualSpacing w:val="0"/>
        <w:jc w:val="left"/>
      </w:pPr>
      <w:r w:rsidDel="00000000" w:rsidR="00000000" w:rsidRPr="00000000">
        <w:rPr>
          <w:rtl w:val="0"/>
        </w:rPr>
        <w:tab/>
        <w:tab/>
        <w:tab/>
        <w:tab/>
        <w:tab/>
        <w:t xml:space="preserve">José Manuel Carral Ortigueira</w:t>
      </w:r>
    </w:p>
    <w:p w:rsidR="00000000" w:rsidDel="00000000" w:rsidP="00000000" w:rsidRDefault="00000000" w:rsidRPr="00000000">
      <w:pPr>
        <w:spacing w:line="276" w:lineRule="auto"/>
        <w:contextualSpacing w:val="0"/>
        <w:jc w:val="left"/>
      </w:pPr>
      <w:r w:rsidDel="00000000" w:rsidR="00000000" w:rsidRPr="00000000">
        <w:rPr>
          <w:rtl w:val="0"/>
        </w:rPr>
        <w:tab/>
        <w:tab/>
        <w:tab/>
        <w:tab/>
        <w:tab/>
        <w:t xml:space="preserve">Nico Matovelle Trigo</w:t>
      </w:r>
    </w:p>
    <w:p w:rsidR="00000000" w:rsidDel="00000000" w:rsidP="00000000" w:rsidRDefault="00000000" w:rsidRPr="00000000">
      <w:pPr>
        <w:spacing w:line="276" w:lineRule="auto"/>
        <w:contextualSpacing w:val="0"/>
        <w:jc w:val="left"/>
      </w:pPr>
      <w:r w:rsidDel="00000000" w:rsidR="00000000" w:rsidRPr="00000000">
        <w:rPr>
          <w:rtl w:val="0"/>
        </w:rPr>
        <w:tab/>
        <w:tab/>
        <w:tab/>
        <w:tab/>
        <w:tab/>
        <w:t xml:space="preserve">Issam Azzam López</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yejxwyf5npk" w:id="3"/>
      <w:bookmarkEnd w:id="3"/>
      <w:r w:rsidDel="00000000" w:rsidR="00000000" w:rsidRPr="00000000">
        <w:rPr>
          <w:rtl w:val="0"/>
        </w:rPr>
        <w:t xml:space="preserve">Índice</w:t>
      </w:r>
    </w:p>
    <w:p w:rsidR="00000000" w:rsidDel="00000000" w:rsidP="00000000" w:rsidRDefault="00000000" w:rsidRPr="00000000">
      <w:pPr>
        <w:ind w:left="360" w:firstLine="0"/>
        <w:contextualSpacing w:val="0"/>
      </w:pPr>
      <w:hyperlink w:anchor="h.lyejxwyf5npk">
        <w:r w:rsidDel="00000000" w:rsidR="00000000" w:rsidRPr="00000000">
          <w:rPr>
            <w:color w:val="1155cc"/>
            <w:u w:val="single"/>
            <w:rtl w:val="0"/>
          </w:rPr>
          <w:t xml:space="preserve">Índice</w:t>
        </w:r>
      </w:hyperlink>
      <w:r w:rsidDel="00000000" w:rsidR="00000000" w:rsidRPr="00000000">
        <w:rPr>
          <w:rtl w:val="0"/>
        </w:rPr>
      </w:r>
    </w:p>
    <w:p w:rsidR="00000000" w:rsidDel="00000000" w:rsidP="00000000" w:rsidRDefault="00000000" w:rsidRPr="00000000">
      <w:pPr>
        <w:ind w:left="360" w:firstLine="0"/>
        <w:contextualSpacing w:val="0"/>
      </w:pPr>
      <w:hyperlink w:anchor="h.vnbtwu2wk9c2">
        <w:r w:rsidDel="00000000" w:rsidR="00000000" w:rsidRPr="00000000">
          <w:rPr>
            <w:color w:val="1155cc"/>
            <w:u w:val="single"/>
            <w:rtl w:val="0"/>
          </w:rPr>
          <w:t xml:space="preserve">Descripción del grupo de trabajo</w:t>
        </w:r>
      </w:hyperlink>
      <w:r w:rsidDel="00000000" w:rsidR="00000000" w:rsidRPr="00000000">
        <w:rPr>
          <w:rtl w:val="0"/>
        </w:rPr>
      </w:r>
    </w:p>
    <w:p w:rsidR="00000000" w:rsidDel="00000000" w:rsidP="00000000" w:rsidRDefault="00000000" w:rsidRPr="00000000">
      <w:pPr>
        <w:ind w:left="360" w:firstLine="0"/>
        <w:contextualSpacing w:val="0"/>
      </w:pPr>
      <w:hyperlink w:anchor="h.8m9olb6m7g3t">
        <w:r w:rsidDel="00000000" w:rsidR="00000000" w:rsidRPr="00000000">
          <w:rPr>
            <w:color w:val="1155cc"/>
            <w:u w:val="single"/>
            <w:rtl w:val="0"/>
          </w:rPr>
          <w:t xml:space="preserve">Planificación de la práctica</w:t>
        </w:r>
      </w:hyperlink>
      <w:r w:rsidDel="00000000" w:rsidR="00000000" w:rsidRPr="00000000">
        <w:rPr>
          <w:rtl w:val="0"/>
        </w:rPr>
      </w:r>
    </w:p>
    <w:p w:rsidR="00000000" w:rsidDel="00000000" w:rsidP="00000000" w:rsidRDefault="00000000" w:rsidRPr="00000000">
      <w:pPr>
        <w:ind w:left="360" w:firstLine="0"/>
        <w:contextualSpacing w:val="0"/>
      </w:pPr>
      <w:hyperlink w:anchor="h.ronnhqf5hdxa">
        <w:r w:rsidDel="00000000" w:rsidR="00000000" w:rsidRPr="00000000">
          <w:rPr>
            <w:color w:val="1155cc"/>
            <w:u w:val="single"/>
            <w:rtl w:val="0"/>
          </w:rPr>
          <w:t xml:space="preserve">Discrepancias de las decisiones en las estimaciones</w:t>
        </w:r>
      </w:hyperlink>
      <w:r w:rsidDel="00000000" w:rsidR="00000000" w:rsidRPr="00000000">
        <w:rPr>
          <w:rtl w:val="0"/>
        </w:rPr>
      </w:r>
    </w:p>
    <w:p w:rsidR="00000000" w:rsidDel="00000000" w:rsidP="00000000" w:rsidRDefault="00000000" w:rsidRPr="00000000">
      <w:pPr>
        <w:ind w:left="360" w:firstLine="0"/>
        <w:contextualSpacing w:val="0"/>
      </w:pPr>
      <w:hyperlink w:anchor="h.kxugsq8v9ywz">
        <w:r w:rsidDel="00000000" w:rsidR="00000000" w:rsidRPr="00000000">
          <w:rPr>
            <w:color w:val="1155cc"/>
            <w:u w:val="single"/>
            <w:rtl w:val="0"/>
          </w:rPr>
          <w:t xml:space="preserve">Anexo 1. - Bibliografía y material utilizado</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vfj7uad1e5cq"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vnbtwu2wk9c2" w:id="5"/>
      <w:bookmarkEnd w:id="5"/>
      <w:r w:rsidDel="00000000" w:rsidR="00000000" w:rsidRPr="00000000">
        <w:rPr>
          <w:rtl w:val="0"/>
        </w:rPr>
        <w:t xml:space="preserve">Descripción del grupo de trabajo</w:t>
      </w:r>
      <w:r w:rsidDel="00000000" w:rsidR="00000000" w:rsidRPr="00000000">
        <w:rPr>
          <w:rtl w:val="0"/>
        </w:rPr>
      </w:r>
    </w:p>
    <w:tbl>
      <w:tblPr>
        <w:tblStyle w:val="Table1"/>
        <w:bidi w:val="0"/>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2370"/>
        <w:gridCol w:w="1995"/>
        <w:tblGridChange w:id="0">
          <w:tblGrid>
            <w:gridCol w:w="4245"/>
            <w:gridCol w:w="2370"/>
            <w:gridCol w:w="19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1"/>
                <w:szCs w:val="21"/>
                <w:highlight w:val="white"/>
                <w:rtl w:val="0"/>
              </w:rPr>
              <w:t xml:space="preserve">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1"/>
                <w:szCs w:val="21"/>
                <w:highlight w:val="white"/>
                <w:rtl w:val="0"/>
              </w:rPr>
              <w:t xml:space="preserve">Organización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Nicolás Matovelle Trigo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USC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José Manuel Carral Ortigueira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sz w:val="21"/>
                <w:szCs w:val="21"/>
                <w:highlight w:val="white"/>
                <w:rtl w:val="0"/>
              </w:rPr>
              <w:t xml:space="preserve">Registrador de la asignación de tareas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USC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Fabiola Mosquera Candela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sz w:val="21"/>
                <w:szCs w:val="21"/>
                <w:highlight w:val="white"/>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USC</w:t>
            </w:r>
          </w:p>
        </w:tc>
      </w:tr>
      <w:tr>
        <w:trPr>
          <w:trHeight w:val="8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Eduardo Bautís García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USC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Issam Azzam López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sz w:val="21"/>
                <w:szCs w:val="21"/>
                <w:highlight w:val="white"/>
                <w:rtl w:val="0"/>
              </w:rPr>
              <w:t xml:space="preserve">Gestor de cambio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USC</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h.8m9olb6m7g3t" w:id="6"/>
      <w:bookmarkEnd w:id="6"/>
      <w:r w:rsidDel="00000000" w:rsidR="00000000" w:rsidRPr="00000000">
        <w:rPr>
          <w:rtl w:val="0"/>
        </w:rPr>
        <w:t xml:space="preserve">Planificación de la práctica</w:t>
      </w:r>
    </w:p>
    <w:p w:rsidR="00000000" w:rsidDel="00000000" w:rsidP="00000000" w:rsidRDefault="00000000" w:rsidRPr="00000000">
      <w:pPr>
        <w:contextualSpacing w:val="0"/>
      </w:pPr>
      <w:r w:rsidDel="00000000" w:rsidR="00000000" w:rsidRPr="00000000">
        <w:rPr>
          <w:rtl w:val="0"/>
        </w:rPr>
        <w:t xml:space="preserve">(EDT inicial, diagrama de Gantt de la práctica, asignación de recursos, estimación de costes, hitos y restricciones temporales…) </w:t>
      </w:r>
    </w:p>
    <w:p w:rsidR="00000000" w:rsidDel="00000000" w:rsidP="00000000" w:rsidRDefault="00000000" w:rsidRPr="00000000">
      <w:pPr>
        <w:contextualSpacing w:val="0"/>
      </w:pPr>
      <w:r w:rsidDel="00000000" w:rsidR="00000000" w:rsidRPr="00000000">
        <w:rPr>
          <w:rtl w:val="0"/>
        </w:rPr>
        <w:t xml:space="preserve">Se adjunta el EDT y el diagrama Gantt en el documento .POD.</w:t>
      </w:r>
    </w:p>
    <w:p w:rsidR="00000000" w:rsidDel="00000000" w:rsidP="00000000" w:rsidRDefault="00000000" w:rsidRPr="00000000">
      <w:pPr>
        <w:contextualSpacing w:val="0"/>
      </w:pPr>
      <w:r w:rsidDel="00000000" w:rsidR="00000000" w:rsidRPr="00000000">
        <w:rPr>
          <w:rtl w:val="0"/>
        </w:rPr>
        <w:t xml:space="preserve">8 de octubre - gestión de la configuración y requisitos</w:t>
      </w:r>
    </w:p>
    <w:p w:rsidR="00000000" w:rsidDel="00000000" w:rsidP="00000000" w:rsidRDefault="00000000" w:rsidRPr="00000000">
      <w:pPr>
        <w:contextualSpacing w:val="0"/>
      </w:pPr>
      <w:r w:rsidDel="00000000" w:rsidR="00000000" w:rsidRPr="00000000">
        <w:rPr>
          <w:rtl w:val="0"/>
        </w:rPr>
        <w:t xml:space="preserve">22 de octubre - estimaciones</w:t>
      </w:r>
    </w:p>
    <w:p w:rsidR="00000000" w:rsidDel="00000000" w:rsidP="00000000" w:rsidRDefault="00000000" w:rsidRPr="00000000">
      <w:pPr>
        <w:contextualSpacing w:val="0"/>
      </w:pPr>
      <w:r w:rsidDel="00000000" w:rsidR="00000000" w:rsidRPr="00000000">
        <w:rPr>
          <w:rtl w:val="0"/>
        </w:rPr>
        <w:t xml:space="preserve">5 de noviembre- planificación</w:t>
      </w:r>
    </w:p>
    <w:p w:rsidR="00000000" w:rsidDel="00000000" w:rsidP="00000000" w:rsidRDefault="00000000" w:rsidRPr="00000000">
      <w:pPr>
        <w:contextualSpacing w:val="0"/>
      </w:pPr>
      <w:r w:rsidDel="00000000" w:rsidR="00000000" w:rsidRPr="00000000">
        <w:rPr>
          <w:rtl w:val="0"/>
        </w:rPr>
        <w:t xml:space="preserve">12 de noviembre - recursos humanos</w:t>
      </w:r>
    </w:p>
    <w:p w:rsidR="00000000" w:rsidDel="00000000" w:rsidP="00000000" w:rsidRDefault="00000000" w:rsidRPr="00000000">
      <w:pPr>
        <w:contextualSpacing w:val="0"/>
      </w:pPr>
      <w:r w:rsidDel="00000000" w:rsidR="00000000" w:rsidRPr="00000000">
        <w:rPr>
          <w:rtl w:val="0"/>
        </w:rPr>
        <w:t xml:space="preserve">19 de noviembre - riesgos</w:t>
      </w:r>
    </w:p>
    <w:p w:rsidR="00000000" w:rsidDel="00000000" w:rsidP="00000000" w:rsidRDefault="00000000" w:rsidRPr="00000000">
      <w:pPr>
        <w:contextualSpacing w:val="0"/>
      </w:pPr>
      <w:r w:rsidDel="00000000" w:rsidR="00000000" w:rsidRPr="00000000">
        <w:rPr>
          <w:rtl w:val="0"/>
        </w:rPr>
        <w:t xml:space="preserve">3 de diciembre - costes</w:t>
      </w:r>
    </w:p>
    <w:p w:rsidR="00000000" w:rsidDel="00000000" w:rsidP="00000000" w:rsidRDefault="00000000" w:rsidRPr="00000000">
      <w:pPr>
        <w:contextualSpacing w:val="0"/>
      </w:pPr>
      <w:r w:rsidDel="00000000" w:rsidR="00000000" w:rsidRPr="00000000">
        <w:rPr>
          <w:rtl w:val="0"/>
        </w:rPr>
        <w:t xml:space="preserve">17 de diciembre - comunicaciones, seguimiento y control</w:t>
      </w:r>
    </w:p>
    <w:p w:rsidR="00000000" w:rsidDel="00000000" w:rsidP="00000000" w:rsidRDefault="00000000" w:rsidRPr="00000000">
      <w:pPr>
        <w:contextualSpacing w:val="0"/>
      </w:pPr>
      <w:r w:rsidDel="00000000" w:rsidR="00000000" w:rsidRPr="00000000">
        <w:rPr>
          <w:rtl w:val="0"/>
        </w:rPr>
        <w:t xml:space="preserve">18 de diciembre - final (No hay que añadir nada más, solo poner todo lo que tendremos).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onnhqf5hdxa" w:id="7"/>
      <w:bookmarkEnd w:id="7"/>
      <w:r w:rsidDel="00000000" w:rsidR="00000000" w:rsidRPr="00000000">
        <w:rPr>
          <w:rtl w:val="0"/>
        </w:rPr>
        <w:t xml:space="preserve">Discrepancias de las decisiones en las estimaciones</w:t>
      </w:r>
    </w:p>
    <w:p w:rsidR="00000000" w:rsidDel="00000000" w:rsidP="00000000" w:rsidRDefault="00000000" w:rsidRPr="00000000">
      <w:pPr>
        <w:contextualSpacing w:val="0"/>
      </w:pPr>
      <w:r w:rsidDel="00000000" w:rsidR="00000000" w:rsidRPr="00000000">
        <w:rPr>
          <w:rtl w:val="0"/>
        </w:rPr>
        <w:t xml:space="preserve">Errores importantes: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Parcial2 → Cono de incertidumbre se da por bueno porque al otro grupo se le pasó.</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Parcial3 → Está bien no haber valorado los requisitos de rendimiento ya que son maneras de hacer los otros requisitos.</w:t>
      </w:r>
    </w:p>
    <w:p w:rsidR="00000000" w:rsidDel="00000000" w:rsidP="00000000" w:rsidRDefault="00000000" w:rsidRPr="00000000">
      <w:pPr>
        <w:contextualSpacing w:val="0"/>
      </w:pPr>
      <w:r w:rsidDel="00000000" w:rsidR="00000000" w:rsidRPr="00000000">
        <w:rPr>
          <w:rtl w:val="0"/>
        </w:rPr>
        <w:t xml:space="preserve">Estimaciones de requisitos:</w:t>
      </w:r>
    </w:p>
    <w:p w:rsidR="00000000" w:rsidDel="00000000" w:rsidP="00000000" w:rsidRDefault="00000000" w:rsidRPr="00000000">
      <w:pPr>
        <w:contextualSpacing w:val="0"/>
      </w:pPr>
      <w:r w:rsidDel="00000000" w:rsidR="00000000" w:rsidRPr="00000000">
        <w:rPr>
          <w:rtl w:val="0"/>
        </w:rPr>
        <w:t xml:space="preserve">Nota: no hay medias entidades.</w:t>
      </w:r>
    </w:p>
    <w:p w:rsidR="00000000" w:rsidDel="00000000" w:rsidP="00000000" w:rsidRDefault="00000000" w:rsidRPr="00000000">
      <w:pPr>
        <w:contextualSpacing w:val="0"/>
      </w:pPr>
      <w:r w:rsidDel="00000000" w:rsidR="00000000" w:rsidRPr="00000000">
        <w:rPr>
          <w:rtl w:val="0"/>
        </w:rPr>
        <w:t xml:space="preserve">Diferencias principales entre las mediciones realizadas entre los dos subgrupos, grupo2 (de dos personas) y grupo3 (de tres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Entidades</w:t>
      </w:r>
      <w:r w:rsidDel="00000000" w:rsidR="00000000" w:rsidRPr="00000000">
        <w:rPr>
          <w:rtl w:val="0"/>
        </w:rPr>
        <w:t xml:space="preserve">: El coloreado de juegos de caracteres fue considerado por el grupo2 como 1 entidad de baja dificultad y de alto por el otro. Ésto se debe a que grupo2 interpretó que existen relaciones para el coloreado de los múltiples lenguajes de programación. Se decidió que en la versión final se pusiera una entidad de alto nivel.</w:t>
      </w:r>
    </w:p>
    <w:p w:rsidR="00000000" w:rsidDel="00000000" w:rsidP="00000000" w:rsidRDefault="00000000" w:rsidRPr="00000000">
      <w:pPr>
        <w:contextualSpacing w:val="0"/>
      </w:pPr>
      <w:r w:rsidDel="00000000" w:rsidR="00000000" w:rsidRPr="00000000">
        <w:rPr>
          <w:rtl w:val="0"/>
        </w:rPr>
        <w:t xml:space="preserve">Gestionar juego de caracteres se consideró como una entidad de nivel medio por el grupo3 y de bajo en el otro. Se decidió por una de nivel medio por la misma razón que en el punto anterior.</w:t>
      </w:r>
    </w:p>
    <w:p w:rsidR="00000000" w:rsidDel="00000000" w:rsidP="00000000" w:rsidRDefault="00000000" w:rsidRPr="00000000">
      <w:pPr>
        <w:contextualSpacing w:val="0"/>
      </w:pPr>
      <w:r w:rsidDel="00000000" w:rsidR="00000000" w:rsidRPr="00000000">
        <w:rPr>
          <w:rtl w:val="0"/>
        </w:rPr>
        <w:t xml:space="preserve">En el soporte de multi-sistema operativo el grupo2 no puso entidades por un error de estimación. En la tabla final se decidió por una entidad de nivel alto.</w:t>
      </w:r>
    </w:p>
    <w:p w:rsidR="00000000" w:rsidDel="00000000" w:rsidP="00000000" w:rsidRDefault="00000000" w:rsidRPr="00000000">
      <w:pPr>
        <w:contextualSpacing w:val="0"/>
      </w:pPr>
      <w:r w:rsidDel="00000000" w:rsidR="00000000" w:rsidRPr="00000000">
        <w:rPr>
          <w:rtl w:val="0"/>
        </w:rPr>
        <w:t xml:space="preserve">Por último, soporte de fuentes y los 3 requisitos de interfaz (</w:t>
      </w:r>
      <w:r w:rsidDel="00000000" w:rsidR="00000000" w:rsidRPr="00000000">
        <w:rPr>
          <w:rtl w:val="0"/>
        </w:rPr>
        <w:t xml:space="preserve">Permitir copiado y pegado con el portapapeles, soporte de interfaz con el sistema para imprimir y soportar las fuentes del sistema) no fueron considerados para el apartado de entidades por el grupo2, pero sí que existen relaciones.</w:t>
      </w:r>
    </w:p>
    <w:p w:rsidR="00000000" w:rsidDel="00000000" w:rsidP="00000000" w:rsidRDefault="00000000" w:rsidRPr="00000000">
      <w:pPr>
        <w:contextualSpacing w:val="0"/>
      </w:pPr>
      <w:r w:rsidDel="00000000" w:rsidR="00000000" w:rsidRPr="00000000">
        <w:rPr>
          <w:b w:val="1"/>
          <w:rtl w:val="0"/>
        </w:rPr>
        <w:t xml:space="preserve">Ventanas</w:t>
      </w:r>
      <w:r w:rsidDel="00000000" w:rsidR="00000000" w:rsidRPr="00000000">
        <w:rPr>
          <w:rtl w:val="0"/>
        </w:rPr>
        <w:t xml:space="preserve">: La única discrepancia relevante es en la identificación de ventanas en el requisito de soporte multi-sistema operativo por el grupo3; no existen ventanas. Alguna diferencia menor fue el uso de ventanas pequeñas como en buscar juegos de caracteres, que no fue contemplado por el grupo2.</w:t>
      </w:r>
    </w:p>
    <w:p w:rsidR="00000000" w:rsidDel="00000000" w:rsidP="00000000" w:rsidRDefault="00000000" w:rsidRPr="00000000">
      <w:pPr>
        <w:contextualSpacing w:val="0"/>
      </w:pPr>
      <w:r w:rsidDel="00000000" w:rsidR="00000000" w:rsidRPr="00000000">
        <w:rPr>
          <w:b w:val="1"/>
          <w:rtl w:val="0"/>
        </w:rPr>
        <w:t xml:space="preserve">Interfaces</w:t>
      </w:r>
      <w:r w:rsidDel="00000000" w:rsidR="00000000" w:rsidRPr="00000000">
        <w:rPr>
          <w:rtl w:val="0"/>
        </w:rPr>
        <w:t xml:space="preserve">: Diferencias en los requisitos de portabilidad, abrir documentos y guardar documentos. El grupo2 puso una entidad baja en los dos últimos y media en el primero, mientras que el otro no consideró que hubiese en ninguno de esos tres. En la versión final se decidió por poner una interfaz de nivel bajo en abrir y guardar documentos, pero no en portabilidad.</w:t>
      </w:r>
    </w:p>
    <w:p w:rsidR="00000000" w:rsidDel="00000000" w:rsidP="00000000" w:rsidRDefault="00000000" w:rsidRPr="00000000">
      <w:pPr>
        <w:contextualSpacing w:val="0"/>
      </w:pPr>
      <w:r w:rsidDel="00000000" w:rsidR="00000000" w:rsidRPr="00000000">
        <w:rPr>
          <w:b w:val="1"/>
          <w:rtl w:val="0"/>
        </w:rPr>
        <w:t xml:space="preserve">Informes</w:t>
      </w:r>
      <w:r w:rsidDel="00000000" w:rsidR="00000000" w:rsidRPr="00000000">
        <w:rPr>
          <w:rtl w:val="0"/>
        </w:rPr>
        <w:t xml:space="preserve">: El apartado de informes se decidió no considerar ningún campo en el documento final ya que no lo requieren, sin embargo los dos grupos pusieron en las primeras estimaciones. Ésto se debe a que, además de la mala interpretación de algunos requisitos, uno de los grupos había incluido requisitos de rendimiento.</w:t>
      </w:r>
    </w:p>
    <w:p w:rsidR="00000000" w:rsidDel="00000000" w:rsidP="00000000" w:rsidRDefault="00000000" w:rsidRPr="00000000">
      <w:pPr>
        <w:contextualSpacing w:val="0"/>
      </w:pPr>
      <w:r w:rsidDel="00000000" w:rsidR="00000000" w:rsidRPr="00000000">
        <w:rPr>
          <w:b w:val="1"/>
          <w:rtl w:val="0"/>
        </w:rPr>
        <w:t xml:space="preserve">Procesos</w:t>
      </w:r>
      <w:r w:rsidDel="00000000" w:rsidR="00000000" w:rsidRPr="00000000">
        <w:rPr>
          <w:rtl w:val="0"/>
        </w:rPr>
        <w:t xml:space="preserve">: En abrir documentos, coloreado de lenguajes, detección, potabilidad… se contemplaron algunas diferencias de menor importancia (medio a bajo, bajo a alto, etc.). Cabe destacar el requisito de soporte multi-sistema operativo en el cuál el grupo2 no consideró ningún proceso a realizar. Se corrigió en la tabla definitiva, otorgándole dos procesos de dificultad alta.</w:t>
      </w:r>
      <w:r w:rsidDel="00000000" w:rsidR="00000000" w:rsidRPr="00000000">
        <w:rPr>
          <w:rtl w:val="0"/>
        </w:rPr>
      </w:r>
    </w:p>
    <w:p w:rsidR="00000000" w:rsidDel="00000000" w:rsidP="00000000" w:rsidRDefault="00000000" w:rsidRPr="00000000">
      <w:pPr>
        <w:pStyle w:val="Heading1"/>
        <w:contextualSpacing w:val="0"/>
      </w:pPr>
      <w:bookmarkStart w:colFirst="0" w:colLast="0" w:name="h.w9clxfo9w8gk" w:id="8"/>
      <w:bookmarkEnd w:id="8"/>
      <w:r w:rsidDel="00000000" w:rsidR="00000000" w:rsidRPr="00000000">
        <w:rPr>
          <w:rtl w:val="0"/>
        </w:rPr>
        <w:t xml:space="preserve">Restricciones de la práctica</w:t>
      </w: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8 de octubre - gestión de la configuración y requisitos.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22 de octubre - estimaciones.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5 de noviembre- planificación.</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20 de noviembre - recursos humanos.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26 de noviembre - riesgos.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11 de diciembre - costes.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17 de diciembre - comunicaciones, seguimiento y control.</w:t>
      </w:r>
    </w:p>
    <w:p w:rsidR="00000000" w:rsidDel="00000000" w:rsidP="00000000" w:rsidRDefault="00000000" w:rsidRPr="00000000">
      <w:pPr>
        <w:pStyle w:val="Heading1"/>
        <w:contextualSpacing w:val="0"/>
      </w:pPr>
      <w:bookmarkStart w:colFirst="0" w:colLast="0" w:name="h.kivdnebg6uxu" w:id="9"/>
      <w:bookmarkEnd w:id="9"/>
      <w:r w:rsidDel="00000000" w:rsidR="00000000" w:rsidRPr="00000000">
        <w:rPr>
          <w:rtl w:val="0"/>
        </w:rPr>
        <w:t xml:space="preserve">Comunicaciones en el grupo de la práctica</w:t>
      </w:r>
    </w:p>
    <w:p w:rsidR="00000000" w:rsidDel="00000000" w:rsidP="00000000" w:rsidRDefault="00000000" w:rsidRPr="00000000">
      <w:pPr>
        <w:contextualSpacing w:val="0"/>
      </w:pPr>
      <w:r w:rsidDel="00000000" w:rsidR="00000000" w:rsidRPr="00000000">
        <w:rPr>
          <w:rtl w:val="0"/>
        </w:rPr>
        <w:t xml:space="preserve">Para la realización de las diversas prácticas, el grupo tiene dos métodos principales de comunicación: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Reuniones presenciales: </w:t>
      </w:r>
      <w:r w:rsidDel="00000000" w:rsidR="00000000" w:rsidRPr="00000000">
        <w:rPr>
          <w:rtl w:val="0"/>
        </w:rPr>
        <w:t xml:space="preserve">Los miembros del equipo siempre quedan una o varias veces antes de la entrega, donde se decide qué hacer y se reparte el trabajo. Normalmente en estas reuniones también se decide la fecha y la hora de la siguiente reunión. Estas reuniones también se aprovechan para trabajar sobre la práctica, ya que se mejora la calidad del trabajo realizado al poder preguntar y consultar en persona a los otros compañeros.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WhatsApp: </w:t>
      </w:r>
      <w:r w:rsidDel="00000000" w:rsidR="00000000" w:rsidRPr="00000000">
        <w:rPr>
          <w:rtl w:val="0"/>
        </w:rPr>
        <w:t xml:space="preserve">El equipo tiene un grupo de WhatsApp donde estamos todos los miembros. Este grupo se usa exclusivamente para comunicaciones con respecto a la práctica, como confirmar la fecha o el lugar de las reuniones, consultar dudas, o informar que no se puede asistir a una de las reuniones.</w:t>
      </w:r>
    </w:p>
    <w:p w:rsidR="00000000" w:rsidDel="00000000" w:rsidP="00000000" w:rsidRDefault="00000000" w:rsidRPr="00000000">
      <w:pPr>
        <w:pStyle w:val="Heading1"/>
        <w:contextualSpacing w:val="0"/>
      </w:pPr>
      <w:bookmarkStart w:colFirst="0" w:colLast="0" w:name="h.38njyubt9rkw" w:id="10"/>
      <w:bookmarkEnd w:id="10"/>
      <w:r w:rsidDel="00000000" w:rsidR="00000000" w:rsidRPr="00000000">
        <w:rPr>
          <w:rtl w:val="0"/>
        </w:rPr>
        <w:t xml:space="preserve">Anexo 1. - Bibliografía y material utilizado</w:t>
      </w:r>
    </w:p>
    <w:p w:rsidR="00000000" w:rsidDel="00000000" w:rsidP="00000000" w:rsidRDefault="00000000" w:rsidRPr="00000000">
      <w:pPr>
        <w:contextualSpacing w:val="0"/>
      </w:pPr>
      <w:r w:rsidDel="00000000" w:rsidR="00000000" w:rsidRPr="00000000">
        <w:rPr>
          <w:rtl w:val="0"/>
        </w:rPr>
        <w:t xml:space="preserve">Documentos de material entregado por el profesor.</w:t>
      </w:r>
    </w:p>
    <w:sectPr>
      <w:headerReference r:id="rId5" w:type="first"/>
      <w:headerReference r:id="rId6" w:type="default"/>
      <w:footerReference r:id="rId7" w:type="first"/>
      <w:footerReference r:id="rId8"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r:id="rId1"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tbl>
    <w:tblPr>
      <w:tblStyle w:val="Table3"/>
      <w:bidi w:val="0"/>
      <w:tblW w:w="9360.0" w:type="dxa"/>
      <w:jc w:val="center"/>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Documento de práctica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895"/>
      <w:gridCol w:w="1260"/>
      <w:tblGridChange w:id="0">
        <w:tblGrid>
          <w:gridCol w:w="2205"/>
          <w:gridCol w:w="5895"/>
          <w:gridCol w:w="1260"/>
        </w:tblGrid>
      </w:tblGridChange>
    </w:tblGrid>
    <w:tr>
      <w:trPr>
        <w:trHeight w:val="84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48"/>
              <w:szCs w:val="48"/>
              <w:rtl w:val="0"/>
            </w:rPr>
            <w:t xml:space="preserve">GES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48"/>
              <w:szCs w:val="48"/>
              <w:rtl w:val="0"/>
            </w:rPr>
            <w:t xml:space="preserve">PRO</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Grado en Ingeniería Informática</w:t>
          </w:r>
        </w:p>
      </w:tc>
      <w:tc>
        <w:tcPr>
          <w:gridSpan w:val="2"/>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GrpE_PLP_F_DocumentoPráctica_V</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Página </w:t>
          </w: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Grupo</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b w:val="1"/>
      <w:sz w:val="36"/>
      <w:szCs w:val="36"/>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xml"/><Relationship Id="rId7" Type="http://schemas.openxmlformats.org/officeDocument/2006/relationships/footer" Target="footer1.xml"/><Relationship Id="rId8" Type="http://schemas.openxmlformats.org/officeDocument/2006/relationships/footer" Target="footer.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