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ENTREGA FINAL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Documento de Memoria Proyecto: Memoria detallada del proyecto.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Planning del Proyecto: Una planificación del proyecto.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Documento y planning de Practicas.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Documento de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DOCUMENTO DE CLIENTE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Objetivos del sistema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Enunciado y Alcance del Proyecto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del Producto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Inicio y Fin del Proyecto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Entregables del proyecto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Riesgos relacionados con el cliente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Resumen de presupuesto (+ IVA)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(*)Tecnica valor ganado: En el control hay que decir que lo vamos a hacer con esta técnica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Indicar como calcular si voy bien o voy mal en el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Algo de etc y ea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Estrategia de cobro por adelantado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decir que control de costes se hace con el valor ganado.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integración (manual de ejecución) como calcular si voy bien o mal (ganado, planificado, real, proyecciones…)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CAMBIOS DE GESTIÓN DE RIESGOS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Quitar la estructura del PMBOK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Redactar la planificacion que se va a ejecutar (con horas).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Ordenar los riesgos por su exposición en la hoja de cálculo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Hay que aplicar la técnica dos veces (tiene que haber dos ishikawa)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La técnica está bien relacionada con el origen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rtl w:val="0"/>
        </w:rPr>
        <w:t xml:space="preserve">registro de riesgos → identificación de riesgos (añadir la técnica que generó cada riesgo)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probabilidad e impacto no tiene escalas (quiere un refinamiento de esas escalas, redactando)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se etiqueta en alto medio y bajo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rtl w:val="0"/>
        </w:rPr>
        <w:t xml:space="preserve">cualitativo → en base a etiquetas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rtl w:val="0"/>
        </w:rPr>
        <w:t xml:space="preserve">cuantitativo → en base a números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la raíz del emv es el riesgo, los nodos son las acciones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hacer cálculos debajo del emv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transferir, mitigar y contención no son acciones, son estrategias. Hay que decir qué acciones se siguen para cumplir con la estrategia.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análisis de riesgos- diferenciar bien entre las acciones antes del riesgo y las acciones de después 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(1)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hacer seguimiento de 10 a 15 riesgos (ejecutar ya las acciones de los riesgos que sean gratis o tengan mucha probabilidad).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con los riesgos tratados hay que aplicar otras acciones distintas y volver a calcular sus probabilidades y sus acciones asociadas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wgohyxqhrgbe" w:id="0"/>
      <w:bookmarkEnd w:id="0"/>
      <w:r w:rsidDel="00000000" w:rsidR="00000000" w:rsidRPr="00000000">
        <w:rPr>
          <w:color w:val="ff0000"/>
          <w:rtl w:val="0"/>
        </w:rPr>
        <w:t xml:space="preserve">TAREAS A PARTIR DE AQUÍ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TAREAS DE CORRECCIÓN: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52525"/>
          <w:sz w:val="21"/>
          <w:szCs w:val="21"/>
          <w:u w:val="none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Hacer un segundo diagrama de Ishikawa (15 min). 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ff9900"/>
          <w:sz w:val="21"/>
          <w:szCs w:val="21"/>
          <w:rtl w:val="0"/>
        </w:rPr>
        <w:t xml:space="preserve">Carral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- </w:t>
      </w:r>
      <w:r w:rsidDel="00000000" w:rsidR="00000000" w:rsidRPr="00000000">
        <w:rPr>
          <w:b w:val="1"/>
          <w:sz w:val="21"/>
          <w:szCs w:val="21"/>
          <w:rtl w:val="0"/>
        </w:rPr>
        <w:t xml:space="preserve">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52525"/>
          <w:sz w:val="21"/>
          <w:szCs w:val="21"/>
          <w:u w:val="none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Corregir el árbol de decisiones (5 min). 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Fabiola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) - Hecho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52525"/>
          <w:sz w:val="21"/>
          <w:szCs w:val="21"/>
          <w:u w:val="none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Ordenar la la hoja de cálculo de riesgos ordenándolos por su exposición. (15 min) (</w:t>
      </w:r>
      <w:r w:rsidDel="00000000" w:rsidR="00000000" w:rsidRPr="00000000">
        <w:rPr>
          <w:b w:val="1"/>
          <w:color w:val="ffff00"/>
          <w:sz w:val="21"/>
          <w:szCs w:val="21"/>
          <w:rtl w:val="0"/>
        </w:rPr>
        <w:t xml:space="preserve">Nico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) - </w:t>
      </w:r>
      <w:r w:rsidDel="00000000" w:rsidR="00000000" w:rsidRPr="00000000">
        <w:rPr>
          <w:b w:val="1"/>
          <w:sz w:val="21"/>
          <w:szCs w:val="21"/>
          <w:rtl w:val="0"/>
        </w:rPr>
        <w:t xml:space="preserve">Hecho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52525"/>
          <w:sz w:val="21"/>
          <w:szCs w:val="21"/>
          <w:u w:val="none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Explicar las escalas utilizadas para la probabilidad e impacto de los riesgos (5 min). 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Edu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) - Hecho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52525"/>
          <w:sz w:val="21"/>
          <w:szCs w:val="21"/>
          <w:u w:val="none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Modificar las acciones a realizar con cada riesgo (explicar en qué consisten en las que no hay nada)(30 min). 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Fabiola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) - Hecho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52525"/>
          <w:sz w:val="21"/>
          <w:szCs w:val="21"/>
          <w:u w:val="none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Escoger y explicar qué acciones se aplican antes del proyecto o al principio del mismo. (30 min) (depende del anterior). 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00ff00"/>
          <w:sz w:val="21"/>
          <w:szCs w:val="21"/>
          <w:rtl w:val="0"/>
        </w:rPr>
        <w:t xml:space="preserve">Issam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)(Hecho)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52525"/>
          <w:sz w:val="21"/>
          <w:szCs w:val="21"/>
          <w:u w:val="none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Crear una hoja de cálculo nueva con los 10-15 riesgos que vas a controlar (los elegidos del apartado anterior). Para los que ya se ha aplicado una técnica y no se pueden asumir, elegir una nueva técnica para tratarlo. (1 h, depende del anterior). (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Edu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color w:val="ff9900"/>
          <w:sz w:val="21"/>
          <w:szCs w:val="21"/>
          <w:rtl w:val="0"/>
        </w:rPr>
        <w:t xml:space="preserve">Carral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) - </w:t>
      </w:r>
      <w:r w:rsidDel="00000000" w:rsidR="00000000" w:rsidRPr="00000000">
        <w:rPr>
          <w:b w:val="1"/>
          <w:sz w:val="21"/>
          <w:szCs w:val="21"/>
          <w:rtl w:val="0"/>
        </w:rPr>
        <w:t xml:space="preserve">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52525"/>
          <w:sz w:val="21"/>
          <w:szCs w:val="21"/>
          <w:u w:val="none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Explicar mejor lo de control de costes (20 min).(* 7.3 del PMBOK) 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ffff00"/>
          <w:sz w:val="21"/>
          <w:szCs w:val="21"/>
          <w:rtl w:val="0"/>
        </w:rPr>
        <w:t xml:space="preserve">Nico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) - Hecho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52525"/>
          <w:sz w:val="21"/>
          <w:szCs w:val="21"/>
          <w:u w:val="none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Hacer el documento del cliente (</w:t>
      </w:r>
      <w:r w:rsidDel="00000000" w:rsidR="00000000" w:rsidRPr="00000000">
        <w:rPr>
          <w:b w:val="1"/>
          <w:color w:val="ffff00"/>
          <w:sz w:val="21"/>
          <w:szCs w:val="21"/>
          <w:rtl w:val="0"/>
        </w:rPr>
        <w:t xml:space="preserve">Nico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)  - Hecho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52525"/>
          <w:sz w:val="21"/>
          <w:szCs w:val="21"/>
          <w:u w:val="none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Planificación de la entrega final 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ff9900"/>
          <w:sz w:val="21"/>
          <w:szCs w:val="21"/>
          <w:rtl w:val="0"/>
        </w:rPr>
        <w:t xml:space="preserve">Carral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- </w:t>
      </w:r>
      <w:r w:rsidDel="00000000" w:rsidR="00000000" w:rsidRPr="00000000">
        <w:rPr>
          <w:b w:val="1"/>
          <w:sz w:val="21"/>
          <w:szCs w:val="21"/>
          <w:rtl w:val="0"/>
        </w:rPr>
        <w:t xml:space="preserve">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52525"/>
          <w:sz w:val="21"/>
          <w:szCs w:val="21"/>
          <w:u w:val="none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Corregir Plan de Riesgos 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Fabiola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) - Hecho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Sustituir números por etiquetas (alto, medio, bajo)</w:t>
      </w:r>
      <w:r w:rsidDel="00000000" w:rsidR="00000000" w:rsidRPr="00000000">
        <w:rPr>
          <w:b w:val="1"/>
          <w:sz w:val="21"/>
          <w:szCs w:val="21"/>
          <w:rtl w:val="0"/>
        </w:rPr>
        <w:t xml:space="preserve"> - Hecho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FABIOLA LEE ESTO: HE ORDENADO LA TABLA DE RIESGOS POR EXPOSICIÓN QUE HAY EN EL DOCUMENTO (VIEJO)GrpE_ARI_F_AnálisisRiesgos_V.ods. SI NO ES ESA LA QUE HABÍA QUE ORDENAR, DIME CUÁL ES, QUE SOLO TARDO 5 MINUTOS EN ORDENARLA.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CORREGIR EL WORD CUANDO SE DESCARGA PARA LA ENTREGA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AÑADIR LA FINANCIACIÓN (ESTÁ LA GRÁFICA EN EL DOCUMENTO DE LÍNEA BASE DE COSTES) -&gt; Explicar lo que pone debajo  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b w:val="1"/>
          <w:color w:val="ff9900"/>
          <w:sz w:val="21"/>
          <w:szCs w:val="21"/>
          <w:rtl w:val="0"/>
        </w:rPr>
        <w:t xml:space="preserve">Carral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- </w:t>
      </w:r>
      <w:r w:rsidDel="00000000" w:rsidR="00000000" w:rsidRPr="00000000">
        <w:rPr>
          <w:b w:val="1"/>
          <w:sz w:val="21"/>
          <w:szCs w:val="21"/>
          <w:rtl w:val="0"/>
        </w:rPr>
        <w:t xml:space="preserve">Hecho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