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Executive-Level Review &amp; Alignment Request</w:t>
      </w:r>
    </w:p>
    <w:p>
      <w:r>
        <w:t>To: hi@simpli.fi, privacy@simpli.fi.com, alissa@simpli.fi.com, lauren@simpli.fi.com, jessica@simpli.fi.com</w:t>
      </w:r>
    </w:p>
    <w:p>
      <w:r>
        <w:t>From: Keith Whitfield, Founder &amp; CEO, Adtech Local</w:t>
      </w:r>
    </w:p>
    <w:p>
      <w:r>
        <w:t>Date: March 20, 2025</w:t>
      </w:r>
    </w:p>
    <w:p>
      <w:r>
        <w:t>Subject: Campaign Execution Failures &amp; Sales Conduct Review</w:t>
        <w:br/>
      </w:r>
    </w:p>
    <w:p>
      <w:r>
        <w:t>Dear Simpli.fi Executive Team,</w:t>
        <w:br/>
        <w:br/>
        <w:t>This communication is written in full respect for the platform and long-term capabilities of Simpli.fi. However, it reflects a necessary obligation to acknowledge the patterns, failures, and systemic issues that have materially obstructed our shared objectives—rooted entirely in the operational decisions and conduct of the Simpli.fi sales organization.</w:t>
        <w:br/>
        <w:br/>
        <w:t>The objective here is not to seek conflict or liability. It is to expose misalignment, restore clarity, and protect the integrity of all parties involved.</w:t>
      </w:r>
    </w:p>
    <w:p>
      <w:pPr>
        <w:pStyle w:val="Heading2"/>
      </w:pPr>
      <w:r>
        <w:t>I. Partnership Structure &amp; Sales Team Representation</w:t>
      </w:r>
    </w:p>
    <w:p>
      <w:r>
        <w:t>Adtech Local was assured of:</w:t>
        <w:br/>
        <w:t>- White-labeled UI access</w:t>
        <w:br/>
        <w:t>- Real-time campaign control and reporting</w:t>
        <w:br/>
        <w:t>- AGF and VIN-level data segmentation</w:t>
        <w:br/>
        <w:t>- Institutional branding for client presentation</w:t>
        <w:br/>
        <w:br/>
        <w:t>These were not delivered, despite being central to investor confidence and operational setup.</w:t>
      </w:r>
    </w:p>
    <w:p>
      <w:pPr>
        <w:pStyle w:val="Heading2"/>
      </w:pPr>
      <w:r>
        <w:t>II. Solar Connect Local Campaign Breakdown – Q2 2024</w:t>
      </w:r>
    </w:p>
    <w:p>
      <w:r>
        <w:t>Launched via Connected TV with 1.1 million ads showing the misspelled word 'Recidential'. Despite early reports, the issue was not addressed for 12 days.</w:t>
        <w:br/>
        <w:t>Only 6 email conversions occurred out of 35 million impressions. All 6 referenced the spelling error.</w:t>
        <w:br/>
        <w:br/>
        <w:t>Expected email conversions:</w:t>
        <w:br/>
        <w:t>- 1% = 350,000 emails → $70M–$350M</w:t>
        <w:br/>
        <w:t>- 5% = 1.75M emails → $350M–$1.75B</w:t>
        <w:br/>
        <w:t>Result: effectively zero.</w:t>
      </w:r>
    </w:p>
    <w:p>
      <w:pPr>
        <w:pStyle w:val="Heading2"/>
      </w:pPr>
      <w:r>
        <w:t>III. Bluetti Winter Campaign – Strategic Miss (Feb 2025)</w:t>
      </w:r>
    </w:p>
    <w:p>
      <w:r>
        <w:t>Requested December 14, 2024. Intended to run during peak winter/holiday period. Delayed until February 15, 2025.</w:t>
        <w:br/>
        <w:t>Product: $1,550 with 10% commission. Expected 1% conversion on 3.5M monthly impressions = $5.425M lost opportunity.</w:t>
      </w:r>
    </w:p>
    <w:p>
      <w:pPr>
        <w:pStyle w:val="Heading2"/>
      </w:pPr>
      <w:r>
        <w:t>IV. Client Circumvention – Q1 2025</w:t>
      </w:r>
    </w:p>
    <w:p>
      <w:r>
        <w:t>Clients were contacted directly by Simpli.fi sales. Adtech Local’s involvement was omitted. Pricing was disclosed improperly, disrupting financial models.</w:t>
      </w:r>
    </w:p>
    <w:p>
      <w:pPr>
        <w:pStyle w:val="Heading2"/>
      </w:pPr>
      <w:r>
        <w:t>V. Proposal Received – March 2025</w:t>
      </w:r>
    </w:p>
    <w:p>
      <w:r>
        <w:t>Proposal suggested transitioning clients directly to Simpli.fi and repositioning Adtech Local as a prepaid account—without agreement or approval.</w:t>
      </w:r>
    </w:p>
    <w:p>
      <w:pPr>
        <w:pStyle w:val="Heading2"/>
      </w:pPr>
      <w:r>
        <w:t>VI. Request for Executive Clarification</w:t>
      </w:r>
    </w:p>
    <w:p>
      <w:r>
        <w:t>I propose an executive-level meeting to:</w:t>
        <w:br/>
        <w:t>- Identify who had authority over these decisions</w:t>
        <w:br/>
        <w:t>- Clarify partnership structure</w:t>
        <w:br/>
        <w:t>- Prevent future breaches of process and expectation</w:t>
        <w:br/>
        <w:br/>
        <w:t>This is submitted in good faith for mutual resolution.</w:t>
      </w:r>
    </w:p>
    <w:p>
      <w:r>
        <w:t>Sincerely,</w:t>
        <w:br/>
        <w:t>Keith Whitfield</w:t>
        <w:br/>
        <w:t>Founder &amp; CEO, Adtech Local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