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מגיש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בראון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תרגיל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לקורס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שלישי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הכימוס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Encapsulation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members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מידור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עקרון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Access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Modifiers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מקריאה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שבמחלקה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אבסטרקטית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מהמחלקה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האבסטרקטית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אבסטרקטית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לעומת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members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sealed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Assembly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members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Modifier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internal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members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Assembly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