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"/>
      </w:pPr>
      <w:r>
        <w:t xml:space="preserve"/>
      </w:r>
    </w:p>
    <w:p>
      <w:pPr>
        <w:spacing w:before="0" w:after="20" w:line="280"/>
        <w:jc w:val="left"/>
      </w:pPr>
      <w:r>
        <w:rPr>
          <w:rFonts w:ascii="Calibri" w:cs="Calibri" w:eastAsia="Calibri" w:hAnsi="Calibri"/>
          <w:b/>
          <w:bCs/>
          <w:color w:val="0D1B2E"/>
          <w:sz w:val="56"/>
          <w:szCs w:val="56"/>
        </w:rPr>
        <w:t xml:space="preserve">Sales Analytics Report</w:t>
      </w:r>
    </w:p>
    <w:p>
      <w:pPr>
        <w:spacing w:before="0" w:after="60" w:line="280"/>
        <w:jc w:val="left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Full Year 2023  ·  1,000 Transactions  ·  4 Regions  ·  5 Sales Reps</w:t>
      </w:r>
    </w:p>
    <w:p>
      <w:pPr>
        <w:pBdr>
          <w:bottom w:val="single" w:color="0097B2" w:sz="6" w:space="1"/>
        </w:pBdr>
        <w:spacing w:before="160" w:after="10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aps w:val="false"/>
          <w:color w:val="0D1B2E"/>
          <w:sz w:val="24"/>
          <w:szCs w:val="24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2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40"/>
                <w:szCs w:val="40"/>
              </w:rPr>
              <w:t xml:space="preserve">$5.02M</w:t>
            </w:r>
          </w:p>
          <w:p>
            <w:pPr>
              <w:spacing w:before="0" w:after="10" w:line="280"/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Total Revenue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97B2"/>
                <w:sz w:val="18"/>
                <w:szCs w:val="18"/>
              </w:rPr>
              <w:t xml:space="preserve">Full year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2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5200"/>
                <w:sz w:val="40"/>
                <w:szCs w:val="40"/>
              </w:rPr>
              <w:t xml:space="preserve">1,000</w:t>
            </w:r>
          </w:p>
          <w:p>
            <w:pPr>
              <w:spacing w:before="0" w:after="10" w:line="280"/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Total Orders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45200"/>
                <w:sz w:val="18"/>
                <w:szCs w:val="18"/>
              </w:rPr>
              <w:t xml:space="preserve">~77/month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2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40"/>
                <w:szCs w:val="40"/>
              </w:rPr>
              <w:t xml:space="preserve">$5,019</w:t>
            </w:r>
          </w:p>
          <w:p>
            <w:pPr>
              <w:spacing w:before="0" w:after="10" w:line="280"/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Avg Order Value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7A4A"/>
                <w:sz w:val="18"/>
                <w:szCs w:val="18"/>
              </w:rPr>
              <w:t xml:space="preserve">Returning: $5,067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2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40"/>
                <w:szCs w:val="40"/>
              </w:rPr>
              <w:t xml:space="preserve">15.2%</w:t>
            </w:r>
          </w:p>
          <w:p>
            <w:pPr>
              <w:spacing w:before="0" w:after="10" w:line="280"/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Avg Discount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22222"/>
                <w:sz w:val="18"/>
                <w:szCs w:val="18"/>
              </w:rPr>
              <w:t xml:space="preserve">No revenue impact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2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18096"/>
                <w:sz w:val="40"/>
                <w:szCs w:val="40"/>
              </w:rPr>
              <w:t xml:space="preserve">14.3%</w:t>
            </w:r>
          </w:p>
          <w:p>
            <w:pPr>
              <w:spacing w:before="0" w:after="10" w:line="280"/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Avg Gross Margin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18096"/>
                <w:sz w:val="18"/>
                <w:szCs w:val="18"/>
              </w:rPr>
              <w:t xml:space="preserve">Thin — monitor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E2E8F0" w:sz="6" w:space="1"/>
        </w:pBdr>
        <w:spacing w:before="160" w:after="10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aps w:val="false"/>
          <w:color w:val="0D1B2E"/>
          <w:sz w:val="24"/>
          <w:szCs w:val="24"/>
        </w:rPr>
        <w:t xml:space="preserve">REVENUE</w:t>
      </w:r>
    </w:p>
    <w:p>
      <w:pPr>
        <w:spacing w:before="0" w:after="60" w:line="280"/>
        <w:jc w:val="left"/>
      </w:pPr>
      <w:r>
        <w:rPr>
          <w:rFonts w:ascii="Calibri" w:cs="Calibri" w:eastAsia="Calibri" w:hAnsi="Calibri"/>
          <w:b/>
          <w:bCs/>
          <w:color w:val="0D1B2E"/>
          <w:sz w:val="22"/>
          <w:szCs w:val="22"/>
        </w:rPr>
        <w:t xml:space="preserve">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040"/>
        <w:gridCol w:w="2040"/>
        <w:gridCol w:w="2040"/>
      </w:tblGrid>
      <w:tr>
        <w:tc>
          <w:tcPr>
            <w:tcW w:type="dxa" w:w="32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0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20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3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Clothing</w:t>
            </w:r>
          </w:p>
        </w:tc>
        <w:tc>
          <w:tcPr>
            <w:tcW w:type="dxa" w:w="20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$1,313,474</w:t>
            </w:r>
          </w:p>
        </w:tc>
        <w:tc>
          <w:tcPr>
            <w:tcW w:type="dxa" w:w="20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26.2%</w:t>
            </w:r>
          </w:p>
        </w:tc>
        <w:tc>
          <w:tcPr>
            <w:tcW w:type="dxa" w:w="20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13.8% ⚠</w:t>
            </w:r>
          </w:p>
        </w:tc>
      </w:tr>
      <w:tr>
        <w:tc>
          <w:tcPr>
            <w:tcW w:type="dxa" w:w="3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Furniture</w:t>
            </w:r>
          </w:p>
        </w:tc>
        <w:tc>
          <w:tcPr>
            <w:tcW w:type="dxa" w:w="20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$1,260,518</w:t>
            </w:r>
          </w:p>
        </w:tc>
        <w:tc>
          <w:tcPr>
            <w:tcW w:type="dxa" w:w="20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25.1%</w:t>
            </w:r>
          </w:p>
        </w:tc>
        <w:tc>
          <w:tcPr>
            <w:tcW w:type="dxa" w:w="20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14.6%</w:t>
            </w:r>
          </w:p>
        </w:tc>
      </w:tr>
      <w:tr>
        <w:tc>
          <w:tcPr>
            <w:tcW w:type="dxa" w:w="3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20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$1,243,500</w:t>
            </w:r>
          </w:p>
        </w:tc>
        <w:tc>
          <w:tcPr>
            <w:tcW w:type="dxa" w:w="20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24.8%</w:t>
            </w:r>
          </w:p>
        </w:tc>
        <w:tc>
          <w:tcPr>
            <w:tcW w:type="dxa" w:w="20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14.3%</w:t>
            </w:r>
          </w:p>
        </w:tc>
      </w:tr>
      <w:tr>
        <w:tc>
          <w:tcPr>
            <w:tcW w:type="dxa" w:w="3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Food</w:t>
            </w:r>
          </w:p>
        </w:tc>
        <w:tc>
          <w:tcPr>
            <w:tcW w:type="dxa" w:w="20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$1,201,774</w:t>
            </w:r>
          </w:p>
        </w:tc>
        <w:tc>
          <w:tcPr>
            <w:tcW w:type="dxa" w:w="20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23.9%</w:t>
            </w:r>
          </w:p>
        </w:tc>
        <w:tc>
          <w:tcPr>
            <w:tcW w:type="dxa" w:w="20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14.5%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200" w:sz="1"/>
              <w:left w:val="single" w:color="C45200" w:sz="1"/>
              <w:bottom w:val="single" w:color="C45200" w:sz="1"/>
              <w:right w:val="single" w:color="C4520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📦  </w:t>
            </w:r>
            <w:r>
              <w:rPr>
                <w:rFonts w:ascii="Calibri" w:cs="Calibri" w:eastAsia="Calibri" w:hAnsi="Calibri"/>
                <w:b/>
                <w:bCs/>
                <w:color w:val="C45200"/>
                <w:sz w:val="22"/>
                <w:szCs w:val="22"/>
              </w:rPr>
              <w:t xml:space="preserve">Clothing Paradox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   Highest revenue, lowest margin. The top earner is the least profitable per sale.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45200"/>
                <w:sz w:val="20"/>
                <w:szCs w:val="20"/>
              </w:rPr>
              <w:t xml:space="preserve">→  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Run a pricing audit on top 20 Clothing products. A 2% price increase recovers ~$26K margin.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60" w:line="280"/>
        <w:jc w:val="left"/>
      </w:pPr>
      <w:r>
        <w:rPr>
          <w:rFonts w:ascii="Calibri" w:cs="Calibri" w:eastAsia="Calibri" w:hAnsi="Calibri"/>
          <w:b/>
          <w:bCs/>
          <w:color w:val="0D1B2E"/>
          <w:sz w:val="22"/>
          <w:szCs w:val="22"/>
        </w:rPr>
        <w:t xml:space="preserve">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Order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North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$1,369,613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267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$5,129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East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$1,259,793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263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$4,791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West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$1,235,609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244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$5,064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South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$1,154,251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226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$5,108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7B2" w:sz="1"/>
              <w:left w:val="single" w:color="0097B2" w:sz="1"/>
              <w:bottom w:val="single" w:color="0097B2" w:sz="1"/>
              <w:right w:val="single" w:color="0097B2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📍  </w:t>
            </w:r>
            <w:r>
              <w:rPr>
                <w:rFonts w:ascii="Calibri" w:cs="Calibri" w:eastAsia="Calibri" w:hAnsi="Calibri"/>
                <w:b/>
                <w:bCs/>
                <w:color w:val="0097B2"/>
                <w:sz w:val="22"/>
                <w:szCs w:val="22"/>
              </w:rPr>
              <w:t xml:space="preserve">South Lags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   South is $215K behind North — the lowest region in both revenue and orders.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→  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Investigate whether underperformance is rep-driven (Charlie is South-heavy) or market-driven.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60" w:line="280"/>
        <w:jc w:val="left"/>
      </w:pPr>
      <w:r>
        <w:rPr>
          <w:rFonts w:ascii="Calibri" w:cs="Calibri" w:eastAsia="Calibri" w:hAnsi="Calibri"/>
          <w:b/>
          <w:bCs/>
          <w:color w:val="0D1B2E"/>
          <w:sz w:val="22"/>
          <w:szCs w:val="22"/>
        </w:rPr>
        <w:t xml:space="preserve">By Sales 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40"/>
        <w:gridCol w:w="2160"/>
        <w:gridCol w:w="2160"/>
      </w:tblGrid>
      <w:tr>
        <w:tc>
          <w:tcPr>
            <w:tcW w:type="dxa" w:w="180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</w:t>
            </w:r>
          </w:p>
        </w:tc>
        <w:tc>
          <w:tcPr>
            <w:tcW w:type="dxa" w:w="180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4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16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Order</w:t>
            </w:r>
          </w:p>
        </w:tc>
        <w:tc>
          <w:tcPr>
            <w:tcW w:type="dxa" w:w="216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Discount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David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$1,141,737</w:t>
            </w:r>
          </w:p>
        </w:tc>
        <w:tc>
          <w:tcPr>
            <w:tcW w:type="dxa" w:w="14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222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$5,143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16.5%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Bob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$1,080,991</w:t>
            </w:r>
          </w:p>
        </w:tc>
        <w:tc>
          <w:tcPr>
            <w:tcW w:type="dxa" w:w="14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208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$5,197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14.2%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Eve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$970,184</w:t>
            </w:r>
          </w:p>
        </w:tc>
        <w:tc>
          <w:tcPr>
            <w:tcW w:type="dxa" w:w="14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209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$4,641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15.8%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Alice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$965,542</w:t>
            </w:r>
          </w:p>
        </w:tc>
        <w:tc>
          <w:tcPr>
            <w:tcW w:type="dxa" w:w="14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192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$5,029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14.1%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Charlie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$860,811</w:t>
            </w:r>
          </w:p>
        </w:tc>
        <w:tc>
          <w:tcPr>
            <w:tcW w:type="dxa" w:w="14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169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$5,093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15.5%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👤  </w:t>
            </w:r>
            <w:r>
              <w:rPr>
                <w:rFonts w:ascii="Calibri" w:cs="Calibri" w:eastAsia="Calibri" w:hAnsi="Calibri"/>
                <w:b/>
                <w:bCs/>
                <w:color w:val="B22222"/>
                <w:sz w:val="22"/>
                <w:szCs w:val="22"/>
              </w:rPr>
              <w:t xml:space="preserve">33% Performance Gap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   David leads at $1.14M. Charlie trails at $861K — a $281K gap with fewer orders and no compensating AOV advantage.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20"/>
                <w:szCs w:val="20"/>
              </w:rPr>
              <w:t xml:space="preserve">→  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Pair Charlie with David for 90-day structured coaching. Review Charlie's pipeline weekly.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60" w:line="280"/>
        <w:jc w:val="left"/>
      </w:pPr>
      <w:r>
        <w:rPr>
          <w:rFonts w:ascii="Calibri" w:cs="Calibri" w:eastAsia="Calibri" w:hAnsi="Calibri"/>
          <w:b/>
          <w:bCs/>
          <w:color w:val="0D1B2E"/>
          <w:sz w:val="22"/>
          <w:szCs w:val="22"/>
        </w:rPr>
        <w:t xml:space="preserve">By Channel &amp;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730"/>
        <w:gridCol w:w="2730"/>
      </w:tblGrid>
      <w:tr>
        <w:tc>
          <w:tcPr>
            <w:tcW w:type="dxa" w:w="23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56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3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73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Retail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Channel</w:t>
            </w:r>
          </w:p>
        </w:tc>
        <w:tc>
          <w:tcPr>
            <w:tcW w:type="dxa" w:w="273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$2,560,431</w:t>
            </w:r>
          </w:p>
        </w:tc>
        <w:tc>
          <w:tcPr>
            <w:tcW w:type="dxa" w:w="273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51.0%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Online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Channel</w:t>
            </w:r>
          </w:p>
        </w:tc>
        <w:tc>
          <w:tcPr>
            <w:tcW w:type="dxa" w:w="273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$2,458,834</w:t>
            </w:r>
          </w:p>
        </w:tc>
        <w:tc>
          <w:tcPr>
            <w:tcW w:type="dxa" w:w="273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49.0%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Payment</w:t>
            </w:r>
          </w:p>
        </w:tc>
        <w:tc>
          <w:tcPr>
            <w:tcW w:type="dxa" w:w="273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$1,757,564</w:t>
            </w:r>
          </w:p>
        </w:tc>
        <w:tc>
          <w:tcPr>
            <w:tcW w:type="dxa" w:w="273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35.0%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Bank Transfer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Payment</w:t>
            </w:r>
          </w:p>
        </w:tc>
        <w:tc>
          <w:tcPr>
            <w:tcW w:type="dxa" w:w="273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$1,717,363</w:t>
            </w:r>
          </w:p>
        </w:tc>
        <w:tc>
          <w:tcPr>
            <w:tcW w:type="dxa" w:w="273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34.2%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Cash</w:t>
            </w:r>
          </w:p>
        </w:tc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Payment</w:t>
            </w:r>
          </w:p>
        </w:tc>
        <w:tc>
          <w:tcPr>
            <w:tcW w:type="dxa" w:w="273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$1,544,339</w:t>
            </w:r>
          </w:p>
        </w:tc>
        <w:tc>
          <w:tcPr>
            <w:tcW w:type="dxa" w:w="273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30.8%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7B2" w:sz="1"/>
              <w:left w:val="single" w:color="0097B2" w:sz="1"/>
              <w:bottom w:val="single" w:color="0097B2" w:sz="1"/>
              <w:right w:val="single" w:color="0097B2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💳  </w:t>
            </w:r>
            <w:r>
              <w:rPr>
                <w:rFonts w:ascii="Calibri" w:cs="Calibri" w:eastAsia="Calibri" w:hAnsi="Calibri"/>
                <w:b/>
                <w:bCs/>
                <w:color w:val="0097B2"/>
                <w:sz w:val="22"/>
                <w:szCs w:val="22"/>
              </w:rPr>
              <w:t xml:space="preserve">Balanced Mix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   Near-equal split across channels and payment types. No single dependency risk.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→  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 immediate action needed. Monitor if Online growth outpaces Retail — it may warrant dedicated strategy.</w:t>
            </w:r>
          </w:p>
        </w:tc>
      </w:tr>
    </w:tbl>
    <w:p>
      <w:r>
        <w:br w:type="page"/>
      </w:r>
    </w:p>
    <w:p>
      <w:pPr>
        <w:pBdr>
          <w:bottom w:val="single" w:color="E2E8F0" w:sz="6" w:space="1"/>
        </w:pBdr>
        <w:spacing w:before="160" w:after="10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aps w:val="false"/>
          <w:color w:val="0D1B2E"/>
          <w:sz w:val="24"/>
          <w:szCs w:val="24"/>
        </w:rPr>
        <w:t xml:space="preserve">DISCOUNT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2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40"/>
                <w:szCs w:val="40"/>
              </w:rPr>
              <w:t xml:space="preserve">0.023</w:t>
            </w:r>
          </w:p>
          <w:p>
            <w:pPr>
              <w:spacing w:before="0" w:after="10" w:line="280"/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Discount–Revenue Correlation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22222"/>
                <w:sz w:val="18"/>
                <w:szCs w:val="18"/>
              </w:rPr>
              <w:t xml:space="preserve">Effectively zero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2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40"/>
                <w:szCs w:val="40"/>
              </w:rPr>
              <w:t xml:space="preserve">$4,949</w:t>
            </w:r>
          </w:p>
          <w:p>
            <w:pPr>
              <w:spacing w:before="0" w:after="10" w:line="280"/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Low Tier (0–10%) AOV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7A4A"/>
                <w:sz w:val="18"/>
                <w:szCs w:val="18"/>
              </w:rPr>
              <w:t xml:space="preserve">350 orders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2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5200"/>
                <w:sz w:val="40"/>
                <w:szCs w:val="40"/>
              </w:rPr>
              <w:t xml:space="preserve">$5,139</w:t>
            </w:r>
          </w:p>
          <w:p>
            <w:pPr>
              <w:spacing w:before="0" w:after="10" w:line="280"/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High Tier (21–30%) AOV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45200"/>
                <w:sz w:val="18"/>
                <w:szCs w:val="18"/>
              </w:rPr>
              <w:t xml:space="preserve">341 orders</w:t>
            </w:r>
          </w:p>
        </w:tc>
      </w:tr>
    </w:tbl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🏷  </w:t>
            </w:r>
            <w:r>
              <w:rPr>
                <w:rFonts w:ascii="Calibri" w:cs="Calibri" w:eastAsia="Calibri" w:hAnsi="Calibri"/>
                <w:b/>
                <w:bCs/>
                <w:color w:val="B22222"/>
                <w:sz w:val="22"/>
                <w:szCs w:val="22"/>
              </w:rPr>
              <w:t xml:space="preserve">Discounts Are Not Working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   A correlation of 0.023 means giving 30% off and giving 0% off produce the same revenue. The business is giving away ~$763K in margin annually with zero return.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20"/>
                <w:szCs w:val="20"/>
              </w:rPr>
              <w:t xml:space="preserve">→  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Introduce discount approval tiers: reps cap at 5%, managers at 15%, director sign-off above 15%. Review in 90 days.</w:t>
            </w:r>
          </w:p>
        </w:tc>
      </w:tr>
    </w:tbl>
    <w:p>
      <w:pPr>
        <w:pBdr>
          <w:bottom w:val="single" w:color="E2E8F0" w:sz="6" w:space="1"/>
        </w:pBdr>
        <w:spacing w:before="160" w:after="10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aps w:val="false"/>
          <w:color w:val="0D1B2E"/>
          <w:sz w:val="24"/>
          <w:szCs w:val="24"/>
        </w:rPr>
        <w:t xml:space="preserve">CUSTOMER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Order Value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New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504  (50.4%)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$2,506,418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$4,973</w:t>
            </w:r>
          </w:p>
        </w:tc>
      </w:tr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Returning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496  (49.6%)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$2,512,847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$5,067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👥  </w:t>
            </w:r>
            <w:r>
              <w:rPr>
                <w:rFonts w:ascii="Calibri" w:cs="Calibri" w:eastAsia="Calibri" w:hAnsi="Calibri"/>
                <w:b/>
                <w:bCs/>
                <w:color w:val="1A7A4A"/>
                <w:sz w:val="22"/>
                <w:szCs w:val="22"/>
              </w:rPr>
              <w:t xml:space="preserve">Returning Customers Spend More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   Returning customers spend $94 more per order. The 50/50 split is healthy but retention is underleveraged.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→  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Launch a retention programme. Every 5% shift toward returning customers adds ~$235K annual revenue.</w:t>
            </w:r>
          </w:p>
        </w:tc>
      </w:tr>
    </w:tbl>
    <w:p>
      <w:pPr>
        <w:pBdr>
          <w:bottom w:val="single" w:color="E2E8F0" w:sz="6" w:space="1"/>
        </w:pBdr>
        <w:spacing w:before="160" w:after="10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aps w:val="false"/>
          <w:color w:val="0D1B2E"/>
          <w:sz w:val="24"/>
          <w:szCs w:val="24"/>
        </w:rPr>
        <w:t xml:space="preserve">DEMAND PATTERNS</w:t>
      </w:r>
    </w:p>
    <w:p>
      <w:pPr>
        <w:spacing w:before="0" w:after="60" w:line="280"/>
        <w:jc w:val="left"/>
      </w:pPr>
      <w:r>
        <w:rPr>
          <w:rFonts w:ascii="Calibri" w:cs="Calibri" w:eastAsia="Calibri" w:hAnsi="Calibri"/>
          <w:b/>
          <w:bCs/>
          <w:color w:val="0D1B2E"/>
          <w:sz w:val="22"/>
          <w:szCs w:val="22"/>
        </w:rPr>
        <w:t xml:space="preserve">Monthly &amp; Quarterly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3000"/>
        <w:gridCol w:w="3000"/>
      </w:tblGrid>
      <w:tr>
        <w:tc>
          <w:tcPr>
            <w:tcW w:type="dxa" w:w="156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180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300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Month</w:t>
            </w:r>
          </w:p>
        </w:tc>
        <w:tc>
          <w:tcPr>
            <w:tcW w:type="dxa" w:w="300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Worst Month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Q1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$1,266,978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January  $495K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February  $369K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Q2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$1,246,530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June  $418K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May  $389K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Q3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$1,185,252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August  $443K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September  $368K</w:t>
            </w:r>
          </w:p>
        </w:tc>
      </w:tr>
      <w:tr>
        <w:tc>
          <w:tcPr>
            <w:tcW w:type="dxa" w:w="1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Q4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$1,320,505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November $467K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December  $393K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0" w:after="60" w:line="280"/>
        <w:jc w:val="left"/>
      </w:pPr>
      <w:r>
        <w:rPr>
          <w:rFonts w:ascii="Calibri" w:cs="Calibri" w:eastAsia="Calibri" w:hAnsi="Calibri"/>
          <w:b/>
          <w:bCs/>
          <w:color w:val="0D1B2E"/>
          <w:sz w:val="22"/>
          <w:szCs w:val="22"/>
        </w:rPr>
        <w:t xml:space="preserve">Day of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12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vs Avg</w:t>
            </w:r>
          </w:p>
        </w:tc>
      </w:tr>
      <w:tr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Thursday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$808,000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+11.8% ↑ Best</w:t>
            </w:r>
          </w:p>
        </w:tc>
      </w:tr>
      <w:tr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Friday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$785,779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+8.7%  ↑</w:t>
            </w:r>
          </w:p>
        </w:tc>
      </w:tr>
      <w:tr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Sunday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$752,192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+4.0%</w:t>
            </w:r>
          </w:p>
        </w:tc>
      </w:tr>
      <w:tr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Tuesday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$726,626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+0.4%</w:t>
            </w:r>
          </w:p>
        </w:tc>
      </w:tr>
      <w:tr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Monday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$688,774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-4.8%</w:t>
            </w:r>
          </w:p>
        </w:tc>
      </w:tr>
      <w:tr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Wednesday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$637,905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-11.6%</w:t>
            </w:r>
          </w:p>
        </w:tc>
      </w:tr>
      <w:tr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Saturday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$619,988</w:t>
            </w:r>
          </w:p>
        </w:tc>
        <w:tc>
          <w:tcPr>
            <w:tcW w:type="dxa" w:w="31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-14.2% ↓ Worst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7B2" w:sz="1"/>
              <w:left w:val="single" w:color="0097B2" w:sz="1"/>
              <w:bottom w:val="single" w:color="0097B2" w:sz="1"/>
              <w:right w:val="single" w:color="0097B2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📅  </w:t>
            </w:r>
            <w:r>
              <w:rPr>
                <w:rFonts w:ascii="Calibri" w:cs="Calibri" w:eastAsia="Calibri" w:hAnsi="Calibri"/>
                <w:b/>
                <w:bCs/>
                <w:color w:val="0097B2"/>
                <w:sz w:val="22"/>
                <w:szCs w:val="22"/>
              </w:rPr>
              <w:t xml:space="preserve">Thu–Fri Drive 32% of Revenue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   Thursday and Friday together generate $1.59M — nearly a third of annual revenue. Wednesday and Saturday are consistently dead.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→  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Push outbound calls, demos, and deal closings to Thursday. Use Wednesday for pipeline admin and training.</w:t>
            </w:r>
          </w:p>
        </w:tc>
      </w:tr>
    </w:tbl>
    <w:p>
      <w:r>
        <w:br w:type="page"/>
      </w:r>
    </w:p>
    <w:p>
      <w:pPr>
        <w:pBdr>
          <w:bottom w:val="single" w:color="0097B2" w:sz="6" w:space="1"/>
        </w:pBdr>
        <w:spacing w:before="160" w:after="10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aps w:val="false"/>
          <w:color w:val="0D1B2E"/>
          <w:sz w:val="24"/>
          <w:szCs w:val="24"/>
        </w:rPr>
        <w:t xml:space="preserve">RECOMMENDATIONS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#1 </w:t>
            </w:r>
            <w:r>
              <w:rPr>
                <w:rFonts w:ascii="Calibri" w:cs="Calibri" w:eastAsia="Calibri" w:hAnsi="Calibri"/>
                <w:b/>
                <w:bCs/>
                <w:color w:val="B22222"/>
                <w:sz w:val="20"/>
                <w:szCs w:val="20"/>
              </w:rPr>
              <w:t xml:space="preserve">[CRITICAL]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Fix the Discount Policy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Data: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0.023 correlation. Discounts cost ~$763K annually with zero revenue impact.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Cap rep discounts at 5%. Require manager approval above 10%. Track discount-adjusted revenue as a KPI.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#2 </w:t>
            </w:r>
            <w:r>
              <w:rPr>
                <w:rFonts w:ascii="Calibri" w:cs="Calibri" w:eastAsia="Calibri" w:hAnsi="Calibri"/>
                <w:b/>
                <w:bCs/>
                <w:color w:val="C45200"/>
                <w:sz w:val="20"/>
                <w:szCs w:val="20"/>
              </w:rPr>
              <w:t xml:space="preserve">[HIGH]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Build a Retention Programme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Data: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Returning customers spend $94 more per order. Currently only 49.6% of orders.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90-day follow-up sequence for new customers. Loyalty tier for repeat buyers. Target 55% returning within 12 months.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#3 </w:t>
            </w:r>
            <w:r>
              <w:rPr>
                <w:rFonts w:ascii="Calibri" w:cs="Calibri" w:eastAsia="Calibri" w:hAnsi="Calibri"/>
                <w:b/>
                <w:bCs/>
                <w:color w:val="C45200"/>
                <w:sz w:val="20"/>
                <w:szCs w:val="20"/>
              </w:rPr>
              <w:t xml:space="preserve">[HIGH]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Fix Clothing Margin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Data: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Top revenue category ($1.31M) but lowest margin (13.8%). Every point of margin = ~$13K.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Audit pricing on top 20 Clothing products. Test 2–3% price increase. Check if reps over-discount Clothing specifically.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#4 </w:t>
            </w: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[MEDIUM]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Close the Rep Performance Gap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Data: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$281K gap between David and Charlie. Charlie has fewer orders and operates in the weakest region.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90-day coaching plan for Charlie. Temporarily move one of Charlie's accounts to a stronger region to isolate if it is rep or market.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#5 </w:t>
            </w: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[MEDIUM]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Align Sales Activity to Peak Days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Data: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Thu–Fri = 32% of revenue. Wed–Sat = weakest. Most teams ignore this pattern.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Restructure the sales week: close on Thursday, prospect on Monday, admin on Wednesday. Run campaign launches Wednesday to peak Thursday.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60" w:line="280"/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End of Report  ·  Sales Analytics  ·  2023  ·  Internal Use Only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spacing w:before="60"/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Internal Use Only  ·  Page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7B2" w:sz="3"/>
      </w:pBdr>
      <w:spacing w:after="80"/>
      <w:jc w:val="right"/>
    </w:pPr>
    <w:r>
      <w:rPr>
        <w:rFonts w:ascii="Calibri" w:cs="Calibri" w:eastAsia="Calibri" w:hAnsi="Calibri"/>
        <w:color w:val="718096"/>
        <w:sz w:val="18"/>
        <w:szCs w:val="18"/>
      </w:rPr>
      <w:t xml:space="preserve">Sales Analytics Report  ·  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2026-03-13T08:03:26.659Z</dcterms:created>
  <dcterms:modified xsi:type="dcterms:W3CDTF">2026-03-13T08:03:26.660Z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