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jc w:val="center"/>
      </w:pPr>
      <w:r>
        <w:rPr>
          <w:rFonts w:ascii="Arial" w:cs="Arial" w:hAnsi="Arial"/>
          <w:b/>
          <w:bCs/>
          <w:i w:val="false"/>
          <w:color w:val="0B3D59"/>
          <w:sz w:val="44"/>
          <w:szCs w:val="44"/>
          <w:rtl/>
        </w:rPr>
        <w:t xml:space="preserve">Lighthouse</w:t>
      </w:r>
    </w:p>
    <w:p>
      <w:pPr>
        <w:bidi/>
        <w:spacing w:after="120"/>
        <w:jc w:val="center"/>
      </w:pPr>
      <w:r>
        <w:rPr>
          <w:rFonts w:ascii="Arial" w:cs="Arial" w:hAnsi="Arial"/>
          <w:b/>
          <w:bCs/>
          <w:i w:val="false"/>
          <w:color w:val="0B3D59"/>
          <w:sz w:val="34"/>
          <w:szCs w:val="34"/>
          <w:rtl/>
        </w:rPr>
        <w:t xml:space="preserve">דוח הערכת איכות הזיהוי</w:t>
      </w:r>
    </w:p>
    <w:p>
      <w:pPr>
        <w:bidi/>
        <w:spacing w:after="480"/>
        <w:jc w:val="center"/>
      </w:pPr>
      <w:r>
        <w:rPr>
          <w:rFonts w:ascii="Arial" w:cs="Arial" w:hAnsi="Arial"/>
          <w:b w:val="false"/>
          <w:i w:val="false"/>
          <w:color w:val="595959"/>
          <w:sz w:val="22"/>
          <w:szCs w:val="22"/>
          <w:rtl/>
        </w:rPr>
        <w:t xml:space="preserve">בדיקה על מדגם בלתי תלוי של 50 הודעות דוא"ל  |  16 באוקטובר 2026</w:t>
      </w:r>
    </w:p>
    <w:p>
      <w:pPr>
        <w:pStyle w:val="Heading1"/>
        <w:keepNext/>
        <w:pBdr>
          <w:bottom w:val="single" w:color="0B3D59" w:sz="6" w:space="4"/>
        </w:pBdr>
        <w:bidi/>
        <w:spacing w:after="160" w:before="360"/>
      </w:pPr>
      <w:r>
        <w:rPr>
          <w:rFonts w:ascii="Arial" w:cs="Arial" w:hAnsi="Arial"/>
          <w:b/>
          <w:bCs/>
          <w:i w:val="false"/>
          <w:color w:val="0B3D59"/>
          <w:sz w:val="30"/>
          <w:szCs w:val="30"/>
          <w:rtl/>
        </w:rPr>
        <w:t xml:space="preserve">1. תקציר</w:t>
      </w:r>
    </w:p>
    <w:p>
      <w:pPr>
        <w:bidi/>
        <w:spacing w:after="120" w:before="0" w:line="300"/>
      </w:pPr>
      <w:r>
        <w:rPr>
          <w:rFonts w:ascii="Arial" w:cs="Arial" w:hAnsi="Arial"/>
          <w:b w:val="false"/>
          <w:i w:val="false"/>
          <w:sz w:val="22"/>
          <w:szCs w:val="22"/>
          <w:rtl/>
        </w:rPr>
        <w:t xml:space="preserve">מטרת הבדיקה הייתה למדוד, באופן שאינו תלוי בכותב החוקים, עד כמה מנוע הניתוח של Lighthouse מזהה הודעות זדוניות ועד כמה הוא נמנע מאזעקות שווא על הודעות לגיטימיות.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1"/>
                <w:szCs w:val="21"/>
                <w:rtl/>
              </w:rPr>
              <w:t xml:space="preserve">מדד</w:t>
            </w:r>
          </w:p>
        </w:tc>
        <w:tc>
          <w:tcPr>
            <w:tcW w:type="dxa" w:w="6438"/>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1"/>
                <w:szCs w:val="21"/>
                <w:rtl/>
              </w:rPr>
              <w:t xml:space="preserve">תוצאה</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1"/>
                <w:szCs w:val="21"/>
                <w:rtl/>
              </w:rPr>
              <w:t xml:space="preserve">שיעור גילוי (הודעות זדוניות שסומנו)</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1"/>
                <w:szCs w:val="21"/>
                <w:rtl/>
              </w:rPr>
              <w:t xml:space="preserve">10 מתוך 20  (50%)</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1"/>
                <w:szCs w:val="21"/>
                <w:rtl/>
              </w:rPr>
              <w:t xml:space="preserve">אזעקות שווא (הודעות לגיטימיות שסומנו)</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1"/>
                <w:szCs w:val="21"/>
                <w:rtl/>
              </w:rPr>
              <w:t xml:space="preserve">0 מתוך 30  (0%)</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1"/>
                <w:szCs w:val="21"/>
                <w:rtl/>
              </w:rPr>
              <w:t xml:space="preserve">דיוק כולל</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1"/>
                <w:szCs w:val="21"/>
                <w:rtl/>
              </w:rPr>
              <w:t xml:space="preserve">80%</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1"/>
                <w:szCs w:val="21"/>
                <w:rtl/>
              </w:rPr>
              <w:t xml:space="preserve">הודעות זדוניות שהגיעו לדרגת "זדוני"</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1"/>
                <w:szCs w:val="21"/>
                <w:rtl/>
              </w:rPr>
              <w:t xml:space="preserve">3 מתוך 20</w:t>
            </w:r>
          </w:p>
        </w:tc>
      </w:tr>
    </w:tbl>
    <w:p>
      <w:pPr>
        <w:bidi/>
        <w:spacing w:after="60" w:before="0" w:line="300"/>
      </w:pPr>
      <w:r>
        <w:rPr>
          <w:rFonts w:ascii="Arial" w:cs="Arial" w:hAnsi="Arial"/>
          <w:b w:val="false"/>
          <w:i w:val="false"/>
          <w:sz w:val="22"/>
          <w:szCs w:val="22"/>
          <w:rtl/>
        </w:rPr>
        <w:t xml:space="preserve"/>
      </w:r>
    </w:p>
    <w:p>
      <w:pPr>
        <w:bidi/>
        <w:spacing w:after="120" w:before="0" w:line="300"/>
      </w:pPr>
      <w:r>
        <w:rPr>
          <w:rFonts w:ascii="Arial" w:cs="Arial" w:hAnsi="Arial"/>
          <w:b/>
          <w:bCs/>
          <w:i w:val="false"/>
          <w:sz w:val="22"/>
          <w:szCs w:val="22"/>
          <w:rtl/>
        </w:rPr>
        <w:t xml:space="preserve">המסקנה המרכזית: </w:t>
      </w:r>
      <w:r>
        <w:rPr>
          <w:rFonts w:ascii="Arial" w:cs="Arial" w:hAnsi="Arial"/>
          <w:b w:val="false"/>
          <w:i w:val="false"/>
          <w:sz w:val="22"/>
          <w:szCs w:val="22"/>
          <w:rtl/>
        </w:rPr>
        <w:t xml:space="preserve">המערכת זהירה ומדויקת כשהיא מתריעה, ולא הטעתה אף פעם על הודעה לגיטימית במדגם. עם זאת, היא מזהה רק מחצית מההתקפות. היא חזקה מאוד בזיהוי התחזות למותגים מוכרים, וחלשה בהתקפות שאינן משאירות "עקבות טכניים": הנדסה חברתית טהורה, קבצים מצורפים שאינם קובצי הרצה, ודיוג שאינו מתחזה למותג.</w:t>
      </w:r>
    </w:p>
    <w:p>
      <w:pPr>
        <w:pStyle w:val="Heading1"/>
        <w:keepNext/>
        <w:pBdr>
          <w:bottom w:val="single" w:color="0B3D59" w:sz="6" w:space="4"/>
        </w:pBdr>
        <w:bidi/>
        <w:spacing w:after="160" w:before="360"/>
      </w:pPr>
      <w:r>
        <w:rPr>
          <w:rFonts w:ascii="Arial" w:cs="Arial" w:hAnsi="Arial"/>
          <w:b/>
          <w:bCs/>
          <w:i w:val="false"/>
          <w:color w:val="0B3D59"/>
          <w:sz w:val="30"/>
          <w:szCs w:val="30"/>
          <w:rtl/>
        </w:rPr>
        <w:t xml:space="preserve">2. מטרה ושיטה</w:t>
      </w:r>
    </w:p>
    <w:p>
      <w:pPr>
        <w:pStyle w:val="Heading2"/>
        <w:keepNext/>
        <w:bidi/>
        <w:spacing w:after="100" w:before="240"/>
      </w:pPr>
      <w:r>
        <w:rPr>
          <w:rFonts w:ascii="Arial" w:cs="Arial" w:hAnsi="Arial"/>
          <w:b/>
          <w:bCs/>
          <w:i w:val="false"/>
          <w:color w:val="0B3D59"/>
          <w:sz w:val="25"/>
          <w:szCs w:val="25"/>
          <w:rtl/>
        </w:rPr>
        <w:t xml:space="preserve">מדגם בלתי תלוי</w:t>
      </w:r>
    </w:p>
    <w:p>
      <w:pPr>
        <w:bidi/>
        <w:spacing w:after="120" w:before="0" w:line="300"/>
      </w:pPr>
      <w:r>
        <w:rPr>
          <w:rFonts w:ascii="Arial" w:cs="Arial" w:hAnsi="Arial"/>
          <w:b w:val="false"/>
          <w:i w:val="false"/>
          <w:sz w:val="22"/>
          <w:szCs w:val="22"/>
          <w:rtl/>
        </w:rPr>
        <w:t xml:space="preserve">מי שכותב את חוקי הזיהוי נוטה, גם בלי כוונה, לכתוב דוגמאות שהחוקים יתפסו. כדי להימנע מכך, 50 ההודעות נכתבו על ידי מודל שפה אחר (Gemini), שלא קיבל שום מידע על אופן פעולת המנוע. ההנחיה כללה רק את מבנה הנתונים ודרישה לריאליזם, כולל מקרים קשים לזיהוי.</w:t>
      </w:r>
    </w:p>
    <w:p>
      <w:pPr>
        <w:pStyle w:val="Heading2"/>
        <w:keepNext/>
        <w:bidi/>
        <w:spacing w:after="100" w:before="240"/>
      </w:pPr>
      <w:r>
        <w:rPr>
          <w:rFonts w:ascii="Arial" w:cs="Arial" w:hAnsi="Arial"/>
          <w:b/>
          <w:bCs/>
          <w:i w:val="false"/>
          <w:color w:val="0B3D59"/>
          <w:sz w:val="25"/>
          <w:szCs w:val="25"/>
          <w:rtl/>
        </w:rPr>
        <w:t xml:space="preserve">הרכב המדגם</w:t>
      </w:r>
    </w:p>
    <w:p>
      <w:pPr>
        <w:bidi/>
        <w:spacing w:after="120" w:before="0" w:line="300"/>
      </w:pPr>
      <w:r>
        <w:rPr>
          <w:rFonts w:ascii="Arial" w:cs="Arial" w:hAnsi="Arial"/>
          <w:b w:val="false"/>
          <w:i w:val="false"/>
          <w:sz w:val="22"/>
          <w:szCs w:val="22"/>
          <w:rtl/>
        </w:rPr>
        <w:t xml:space="preserve">המדגם כולל 30 הודעות לגיטימיות ו-20 זדוניות, בחמישה נושאים (6 לגיטימיות ו-4 זדוניות בכל נושא). יותר הודעות לגיטימיות נכללו בכוונה, משום שבתיבת דואר אמיתית רוב ההודעות לגיטימיות, ואזעקות שווא הן מה שגורם למשתמשים להתעלם מאזהרות.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0"/>
                <w:szCs w:val="20"/>
                <w:rtl/>
              </w:rPr>
              <w:t xml:space="preserve">נושא</w:t>
            </w:r>
          </w:p>
        </w:tc>
        <w:tc>
          <w:tcPr>
            <w:tcW w:type="dxa" w:w="4819"/>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0"/>
                <w:szCs w:val="20"/>
                <w:rtl/>
              </w:rPr>
              <w:t xml:space="preserve">סוגי הודעות</w:t>
            </w:r>
          </w:p>
        </w:tc>
      </w:tr>
      <w:tr>
        <w:trPr>
          <w:cantSplit/>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שיווק וניוזלטרים</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לגיטימי: מותגים ושירותים. זדוני: התחזות למותג</w:t>
            </w:r>
          </w:p>
        </w:tc>
      </w:tr>
      <w:tr>
        <w:trPr>
          <w:cantSplit/>
          <w:tblHeader w:val="off"/>
        </w:trPr>
        <w:tc>
          <w:tcPr>
            <w:tcW w:type="dxa" w:w="481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20"/>
                <w:szCs w:val="20"/>
                <w:rtl/>
              </w:rPr>
              <w:t xml:space="preserve">התראות אבטחה וחשבון</w:t>
            </w:r>
          </w:p>
        </w:tc>
        <w:tc>
          <w:tcPr>
            <w:tcW w:type="dxa" w:w="481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20"/>
                <w:szCs w:val="20"/>
                <w:rtl/>
              </w:rPr>
              <w:t xml:space="preserve">לגיטימי: כניסה חדשה, קוד אימות, שינוי סיסמה. זדוני: גניבת פרטי התחברות</w:t>
            </w:r>
          </w:p>
        </w:tc>
      </w:tr>
      <w:tr>
        <w:trPr>
          <w:cantSplit/>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עבודה וקבצים</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לגיטימי: קבצים, דוחות, קבלות. זדוני: נוזקה בקובץ מצורף</w:t>
            </w:r>
          </w:p>
        </w:tc>
      </w:tr>
      <w:tr>
        <w:trPr>
          <w:cantSplit/>
          <w:tblHeader w:val="off"/>
        </w:trPr>
        <w:tc>
          <w:tcPr>
            <w:tcW w:type="dxa" w:w="481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20"/>
                <w:szCs w:val="20"/>
                <w:rtl/>
              </w:rPr>
              <w:t xml:space="preserve">משלוחים, הזמנות ובנק</w:t>
            </w:r>
          </w:p>
        </w:tc>
        <w:tc>
          <w:tcPr>
            <w:tcW w:type="dxa" w:w="481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20"/>
                <w:szCs w:val="20"/>
                <w:rtl/>
              </w:rPr>
              <w:t xml:space="preserve">לגיטימי: אישורי הזמנה ומשלוח. זדוני: הונאות תשלום ומשלוח</w:t>
            </w:r>
          </w:p>
        </w:tc>
      </w:tr>
      <w:tr>
        <w:trPr>
          <w:cantSplit/>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אישי וצוות</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לגיטימי: התכתבות קצרה. זדוני: הונאת מנכ"ל וספק</w:t>
            </w:r>
          </w:p>
        </w:tc>
      </w:tr>
    </w:tbl>
    <w:p>
      <w:pPr>
        <w:bidi/>
        <w:spacing w:after="60" w:before="0" w:line="300"/>
      </w:pPr>
      <w:r>
        <w:rPr>
          <w:rFonts w:ascii="Arial" w:cs="Arial" w:hAnsi="Arial"/>
          <w:b w:val="false"/>
          <w:i w:val="false"/>
          <w:sz w:val="22"/>
          <w:szCs w:val="22"/>
          <w:rtl/>
        </w:rPr>
        <w:t xml:space="preserve"/>
      </w:r>
    </w:p>
    <w:p>
      <w:pPr>
        <w:pStyle w:val="Heading2"/>
        <w:keepNext/>
        <w:bidi/>
        <w:spacing w:after="100" w:before="240"/>
      </w:pPr>
      <w:r>
        <w:rPr>
          <w:rFonts w:ascii="Arial" w:cs="Arial" w:hAnsi="Arial"/>
          <w:b/>
          <w:bCs/>
          <w:i w:val="false"/>
          <w:color w:val="0B3D59"/>
          <w:sz w:val="25"/>
          <w:szCs w:val="25"/>
          <w:rtl/>
        </w:rPr>
        <w:t xml:space="preserve">אופן ההרצה</w:t>
      </w:r>
    </w:p>
    <w:p>
      <w:pPr>
        <w:pStyle w:val="ListParagraph"/>
        <w:numPr>
          <w:ilvl w:val="0"/>
          <w:numId w:val="2"/>
        </w:numPr>
        <w:bidi/>
        <w:spacing w:after="80" w:before="0" w:line="300"/>
      </w:pPr>
      <w:r>
        <w:rPr>
          <w:rFonts w:ascii="Arial" w:cs="Arial" w:hAnsi="Arial"/>
          <w:b w:val="false"/>
          <w:i w:val="false"/>
          <w:sz w:val="22"/>
          <w:szCs w:val="22"/>
          <w:rtl/>
        </w:rPr>
        <w:t xml:space="preserve">כל ההודעות נבדקו מול סכמת הקלט של השרת לפני ההרצה, ולא שונו.</w:t>
      </w:r>
    </w:p>
    <w:p>
      <w:pPr>
        <w:pStyle w:val="ListParagraph"/>
        <w:numPr>
          <w:ilvl w:val="0"/>
          <w:numId w:val="2"/>
        </w:numPr>
        <w:bidi/>
        <w:spacing w:after="80" w:before="0" w:line="300"/>
      </w:pPr>
      <w:r>
        <w:rPr>
          <w:rFonts w:ascii="Arial" w:cs="Arial" w:hAnsi="Arial"/>
          <w:b w:val="false"/>
          <w:i w:val="false"/>
          <w:sz w:val="22"/>
          <w:szCs w:val="22"/>
          <w:rtl/>
        </w:rPr>
        <w:t xml:space="preserve">המנוע הורץ על כל הודעה כפי שהיא, ללא שינוי בחוקים או במשקלים לפני הבדיקה או במהלכה.</w:t>
      </w:r>
    </w:p>
    <w:p>
      <w:pPr>
        <w:pStyle w:val="ListParagraph"/>
        <w:numPr>
          <w:ilvl w:val="0"/>
          <w:numId w:val="2"/>
        </w:numPr>
        <w:bidi/>
        <w:spacing w:after="80" w:before="0" w:line="300"/>
      </w:pPr>
      <w:r>
        <w:rPr>
          <w:rFonts w:ascii="Arial" w:cs="Arial" w:hAnsi="Arial"/>
          <w:b/>
          <w:bCs/>
          <w:i w:val="false"/>
          <w:sz w:val="22"/>
          <w:szCs w:val="22"/>
          <w:rtl/>
        </w:rPr>
        <w:t xml:space="preserve">הגדרת "סומן": </w:t>
      </w:r>
      <w:r>
        <w:rPr>
          <w:rFonts w:ascii="Arial" w:cs="Arial" w:hAnsi="Arial"/>
          <w:b w:val="false"/>
          <w:i w:val="false"/>
          <w:sz w:val="22"/>
          <w:szCs w:val="22"/>
          <w:rtl/>
        </w:rPr>
        <w:t xml:space="preserve">ציון 35 ומעלה, כלומר הכרטיס מוצג למשתמש בכתום או באדום.</w:t>
      </w:r>
    </w:p>
    <w:p>
      <w:pPr>
        <w:pStyle w:val="ListParagraph"/>
        <w:numPr>
          <w:ilvl w:val="0"/>
          <w:numId w:val="2"/>
        </w:numPr>
        <w:bidi/>
        <w:spacing w:after="80" w:before="0" w:line="300"/>
      </w:pPr>
      <w:r>
        <w:rPr>
          <w:rFonts w:ascii="Arial" w:cs="Arial" w:hAnsi="Arial"/>
          <w:b w:val="false"/>
          <w:i w:val="false"/>
          <w:sz w:val="22"/>
          <w:szCs w:val="22"/>
          <w:rtl/>
        </w:rPr>
        <w:t xml:space="preserve">בדיקת ההתחזות לאנשי קשר מהימנים רצה בתוסף עצמו ולא בשרת, ולכן אינה נכללת במדידה.</w:t>
      </w:r>
    </w:p>
    <w:p>
      <w:pPr>
        <w:pStyle w:val="Heading1"/>
        <w:keepNext/>
        <w:pBdr>
          <w:bottom w:val="single" w:color="0B3D59" w:sz="6" w:space="4"/>
        </w:pBdr>
        <w:bidi/>
        <w:spacing w:after="160" w:before="360"/>
      </w:pPr>
      <w:r>
        <w:rPr>
          <w:rFonts w:ascii="Arial" w:cs="Arial" w:hAnsi="Arial"/>
          <w:b/>
          <w:bCs/>
          <w:i w:val="false"/>
          <w:color w:val="0B3D59"/>
          <w:sz w:val="30"/>
          <w:szCs w:val="30"/>
          <w:rtl/>
        </w:rPr>
        <w:t xml:space="preserve">3. תוצאות</w:t>
      </w:r>
    </w:p>
    <w:p>
      <w:pPr>
        <w:pStyle w:val="Heading2"/>
        <w:keepNext/>
        <w:bidi/>
        <w:spacing w:after="100" w:before="240"/>
      </w:pPr>
      <w:r>
        <w:rPr>
          <w:rFonts w:ascii="Arial" w:cs="Arial" w:hAnsi="Arial"/>
          <w:b/>
          <w:bCs/>
          <w:i w:val="false"/>
          <w:color w:val="0B3D59"/>
          <w:sz w:val="25"/>
          <w:szCs w:val="25"/>
          <w:rtl/>
        </w:rPr>
        <w:t xml:space="preserve">טבלת בלבול (סף 35)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trPr>
        <w:tc>
          <w:tcPr>
            <w:tcW w:type="dxa" w:w="3212"/>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1"/>
                <w:szCs w:val="21"/>
                <w:rtl/>
              </w:rPr>
              <w:t xml:space="preserve"/>
            </w:r>
          </w:p>
        </w:tc>
        <w:tc>
          <w:tcPr>
            <w:tcW w:type="dxa" w:w="3213"/>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1"/>
                <w:szCs w:val="21"/>
                <w:rtl/>
              </w:rPr>
              <w:t xml:space="preserve">סומן כחשוד</w:t>
            </w:r>
          </w:p>
        </w:tc>
        <w:tc>
          <w:tcPr>
            <w:tcW w:type="dxa" w:w="3213"/>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1"/>
                <w:szCs w:val="21"/>
                <w:rtl/>
              </w:rPr>
              <w:t xml:space="preserve">לא סומן</w:t>
            </w:r>
          </w:p>
        </w:tc>
      </w:tr>
      <w:tr>
        <w:trPr>
          <w:cantSplit/>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bCs/>
                <w:i w:val="false"/>
                <w:sz w:val="21"/>
                <w:szCs w:val="21"/>
                <w:rtl/>
              </w:rPr>
              <w:t xml:space="preserve">זדוני (20)</w:t>
            </w:r>
          </w:p>
        </w:tc>
        <w:tc>
          <w:tcPr>
            <w:tcW w:type="dxa" w:w="3213"/>
            <w:tcBorders>
              <w:top w:val="single" w:color="BFBFBF" w:sz="4"/>
              <w:left w:val="single" w:color="BFBFBF" w:sz="4"/>
              <w:bottom w:val="single" w:color="BFBFBF" w:sz="4"/>
              <w:right w:val="single" w:color="BFBFBF" w:sz="4"/>
            </w:tcBorders>
            <w:shd w:fill="E3F1EC" w:color="auto" w:val="clear"/>
            <w:tcMar>
              <w:top w:type="dxa" w:w="60"/>
              <w:left w:type="dxa" w:w="100"/>
              <w:bottom w:type="dxa" w:w="60"/>
              <w:right w:type="dxa" w:w="100"/>
            </w:tcMar>
          </w:tcPr>
          <w:p>
            <w:pPr>
              <w:bidi/>
              <w:jc w:val="center"/>
            </w:pPr>
            <w:r>
              <w:rPr>
                <w:rFonts w:ascii="Arial" w:cs="Arial" w:hAnsi="Arial"/>
                <w:b/>
                <w:bCs/>
                <w:i w:val="false"/>
                <w:color w:val="2E7D6B"/>
                <w:sz w:val="21"/>
                <w:szCs w:val="21"/>
                <w:rtl/>
              </w:rPr>
              <w:t xml:space="preserve">10  (זוהה)</w:t>
            </w:r>
          </w:p>
        </w:tc>
        <w:tc>
          <w:tcPr>
            <w:tcW w:type="dxa" w:w="3213"/>
            <w:tcBorders>
              <w:top w:val="single" w:color="BFBFBF" w:sz="4"/>
              <w:left w:val="single" w:color="BFBFBF" w:sz="4"/>
              <w:bottom w:val="single" w:color="BFBFBF" w:sz="4"/>
              <w:right w:val="single" w:color="BFBFBF" w:sz="4"/>
            </w:tcBorders>
            <w:shd w:fill="FBE9E7" w:color="auto" w:val="clear"/>
            <w:tcMar>
              <w:top w:type="dxa" w:w="60"/>
              <w:left w:type="dxa" w:w="100"/>
              <w:bottom w:type="dxa" w:w="60"/>
              <w:right w:type="dxa" w:w="100"/>
            </w:tcMar>
          </w:tcPr>
          <w:p>
            <w:pPr>
              <w:bidi/>
              <w:jc w:val="center"/>
            </w:pPr>
            <w:r>
              <w:rPr>
                <w:rFonts w:ascii="Arial" w:cs="Arial" w:hAnsi="Arial"/>
                <w:b/>
                <w:bCs/>
                <w:i w:val="false"/>
                <w:color w:val="C62828"/>
                <w:sz w:val="21"/>
                <w:szCs w:val="21"/>
                <w:rtl/>
              </w:rPr>
              <w:t xml:space="preserve">10  (פוספס)</w:t>
            </w:r>
          </w:p>
        </w:tc>
      </w:tr>
      <w:tr>
        <w:trPr>
          <w:cantSplit/>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bCs/>
                <w:i w:val="false"/>
                <w:sz w:val="21"/>
                <w:szCs w:val="21"/>
                <w:rtl/>
              </w:rPr>
              <w:t xml:space="preserve">לגיטימי (30)</w:t>
            </w:r>
          </w:p>
        </w:tc>
        <w:tc>
          <w:tcPr>
            <w:tcW w:type="dxa" w:w="3213"/>
            <w:tcBorders>
              <w:top w:val="single" w:color="BFBFBF" w:sz="4"/>
              <w:left w:val="single" w:color="BFBFBF" w:sz="4"/>
              <w:bottom w:val="single" w:color="BFBFBF" w:sz="4"/>
              <w:right w:val="single" w:color="BFBFBF" w:sz="4"/>
            </w:tcBorders>
            <w:shd w:fill="E3F1EC" w:color="auto" w:val="clear"/>
            <w:tcMar>
              <w:top w:type="dxa" w:w="60"/>
              <w:left w:type="dxa" w:w="100"/>
              <w:bottom w:type="dxa" w:w="60"/>
              <w:right w:type="dxa" w:w="100"/>
            </w:tcMar>
          </w:tcPr>
          <w:p>
            <w:pPr>
              <w:bidi/>
              <w:jc w:val="center"/>
            </w:pPr>
            <w:r>
              <w:rPr>
                <w:rFonts w:ascii="Arial" w:cs="Arial" w:hAnsi="Arial"/>
                <w:b/>
                <w:bCs/>
                <w:i w:val="false"/>
                <w:color w:val="2E7D6B"/>
                <w:sz w:val="21"/>
                <w:szCs w:val="21"/>
                <w:rtl/>
              </w:rPr>
              <w:t xml:space="preserve">0  (אזעקת שווא)</w:t>
            </w:r>
          </w:p>
        </w:tc>
        <w:tc>
          <w:tcPr>
            <w:tcW w:type="dxa" w:w="3213"/>
            <w:tcBorders>
              <w:top w:val="single" w:color="BFBFBF" w:sz="4"/>
              <w:left w:val="single" w:color="BFBFBF" w:sz="4"/>
              <w:bottom w:val="single" w:color="BFBFBF" w:sz="4"/>
              <w:right w:val="single" w:color="BFBFBF" w:sz="4"/>
            </w:tcBorders>
            <w:shd w:fill="E3F1EC" w:color="auto" w:val="clear"/>
            <w:tcMar>
              <w:top w:type="dxa" w:w="60"/>
              <w:left w:type="dxa" w:w="100"/>
              <w:bottom w:type="dxa" w:w="60"/>
              <w:right w:type="dxa" w:w="100"/>
            </w:tcMar>
          </w:tcPr>
          <w:p>
            <w:pPr>
              <w:bidi/>
              <w:jc w:val="center"/>
            </w:pPr>
            <w:r>
              <w:rPr>
                <w:rFonts w:ascii="Arial" w:cs="Arial" w:hAnsi="Arial"/>
                <w:b/>
                <w:bCs/>
                <w:i w:val="false"/>
                <w:color w:val="2E7D6B"/>
                <w:sz w:val="21"/>
                <w:szCs w:val="21"/>
                <w:rtl/>
              </w:rPr>
              <w:t xml:space="preserve">30  (תקין)</w:t>
            </w:r>
          </w:p>
        </w:tc>
      </w:tr>
    </w:tbl>
    <w:p>
      <w:pPr>
        <w:bidi/>
        <w:spacing w:after="60" w:before="0" w:line="300"/>
      </w:pPr>
      <w:r>
        <w:rPr>
          <w:rFonts w:ascii="Arial" w:cs="Arial" w:hAnsi="Arial"/>
          <w:b w:val="false"/>
          <w:i w:val="false"/>
          <w:sz w:val="22"/>
          <w:szCs w:val="22"/>
          <w:rtl/>
        </w:rPr>
        <w:t xml:space="preserve"/>
      </w:r>
    </w:p>
    <w:p>
      <w:pPr>
        <w:pStyle w:val="Heading2"/>
        <w:keepNext/>
        <w:bidi/>
        <w:spacing w:after="100" w:before="240"/>
      </w:pPr>
      <w:r>
        <w:rPr>
          <w:rFonts w:ascii="Arial" w:cs="Arial" w:hAnsi="Arial"/>
          <w:b/>
          <w:bCs/>
          <w:i w:val="false"/>
          <w:color w:val="0B3D59"/>
          <w:sz w:val="25"/>
          <w:szCs w:val="25"/>
          <w:rtl/>
        </w:rPr>
        <w:t xml:space="preserve">ביצועים לפי סוג התקפה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8"/>
        <w:gridCol w:w="2000"/>
        <w:gridCol w:w="2000"/>
      </w:tblGrid>
      <w:tr>
        <w:trPr>
          <w:cantSplit/>
          <w:tblHeader/>
        </w:trPr>
        <w:tc>
          <w:tcPr>
            <w:tcW w:type="dxa" w:w="5638"/>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0"/>
                <w:szCs w:val="20"/>
                <w:rtl/>
              </w:rPr>
              <w:t xml:space="preserve">סוג התקפה</w:t>
            </w:r>
          </w:p>
        </w:tc>
        <w:tc>
          <w:tcPr>
            <w:tcW w:type="dxa" w:w="20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0"/>
                <w:szCs w:val="20"/>
                <w:rtl/>
              </w:rPr>
              <w:t xml:space="preserve">הודעות</w:t>
            </w:r>
          </w:p>
        </w:tc>
        <w:tc>
          <w:tcPr>
            <w:tcW w:type="dxa" w:w="20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20"/>
                <w:szCs w:val="20"/>
                <w:rtl/>
              </w:rPr>
              <w:t xml:space="preserve">זוהו</w:t>
            </w:r>
          </w:p>
        </w:tc>
      </w:tr>
      <w:tr>
        <w:trPr>
          <w:cantSplit/>
          <w:tblHeader w:val="off"/>
        </w:trP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התחזות למותג מוכר (PayPal, Netflix, Apple, Microsoft, DHL)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20"/>
                <w:szCs w:val="20"/>
                <w:rtl/>
              </w:rPr>
              <w:t xml:space="preserve">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20"/>
                <w:szCs w:val="20"/>
                <w:rtl/>
              </w:rPr>
              <w:t xml:space="preserve">8</w:t>
            </w:r>
          </w:p>
        </w:tc>
      </w:tr>
      <w:tr>
        <w:trPr>
          <w:cantSplit/>
          <w:tblHeader w:val="off"/>
        </w:trPr>
        <w:tc>
          <w:tcPr>
            <w:tcW w:type="dxa" w:w="56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20"/>
                <w:szCs w:val="20"/>
                <w:rtl/>
              </w:rPr>
              <w:t xml:space="preserve">דיוג שלא מתחזה למותג (מחלקת IT, דואר)</w:t>
            </w:r>
          </w:p>
        </w:tc>
        <w:tc>
          <w:tcPr>
            <w:tcW w:type="dxa" w:w="2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20"/>
                <w:szCs w:val="20"/>
                <w:rtl/>
              </w:rPr>
              <w:t xml:space="preserve">3</w:t>
            </w:r>
          </w:p>
        </w:tc>
        <w:tc>
          <w:tcPr>
            <w:tcW w:type="dxa" w:w="2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C62828"/>
                <w:sz w:val="20"/>
                <w:szCs w:val="20"/>
                <w:rtl/>
              </w:rPr>
              <w:t xml:space="preserve">0</w:t>
            </w:r>
          </w:p>
        </w:tc>
      </w:tr>
      <w:tr>
        <w:trPr>
          <w:cantSplit/>
          <w:tblHeader w:val="off"/>
        </w:trP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הפצת נוזקה בקובץ מצורף</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20"/>
                <w:szCs w:val="20"/>
                <w:rtl/>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sz w:val="20"/>
                <w:szCs w:val="20"/>
                <w:rtl/>
              </w:rPr>
              <w:t xml:space="preserve">1</w:t>
            </w:r>
          </w:p>
        </w:tc>
      </w:tr>
      <w:tr>
        <w:trPr>
          <w:cantSplit/>
          <w:tblHeader w:val="off"/>
        </w:trPr>
        <w:tc>
          <w:tcPr>
            <w:tcW w:type="dxa" w:w="56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20"/>
                <w:szCs w:val="20"/>
                <w:rtl/>
              </w:rPr>
              <w:t xml:space="preserve">הונאת מנכ"ל / ספק (BEC), בלי קישורים</w:t>
            </w:r>
          </w:p>
        </w:tc>
        <w:tc>
          <w:tcPr>
            <w:tcW w:type="dxa" w:w="2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20"/>
                <w:szCs w:val="20"/>
                <w:rtl/>
              </w:rPr>
              <w:t xml:space="preserve">4</w:t>
            </w:r>
          </w:p>
        </w:tc>
        <w:tc>
          <w:tcPr>
            <w:tcW w:type="dxa" w:w="2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sz w:val="20"/>
                <w:szCs w:val="20"/>
                <w:rtl/>
              </w:rPr>
              <w:t xml:space="preserve">1</w:t>
            </w:r>
          </w:p>
        </w:tc>
      </w:tr>
      <w:tr>
        <w:trPr>
          <w:cantSplit/>
          <w:tblHeader w:val="off"/>
        </w:trPr>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20"/>
                <w:szCs w:val="20"/>
                <w:rtl/>
              </w:rPr>
              <w:t xml:space="preserve">הונאת "חידוש מנוי" עם מספר טלפון</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20"/>
                <w:szCs w:val="20"/>
                <w:rtl/>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C62828"/>
                <w:sz w:val="20"/>
                <w:szCs w:val="20"/>
                <w:rtl/>
              </w:rPr>
              <w:t xml:space="preserve">0</w:t>
            </w:r>
          </w:p>
        </w:tc>
      </w:tr>
    </w:tbl>
    <w:p>
      <w:pPr>
        <w:bidi/>
        <w:spacing w:after="60" w:before="0" w:line="300"/>
      </w:pPr>
      <w:r>
        <w:rPr>
          <w:rFonts w:ascii="Arial" w:cs="Arial" w:hAnsi="Arial"/>
          <w:b w:val="false"/>
          <w:i w:val="false"/>
          <w:sz w:val="22"/>
          <w:szCs w:val="22"/>
          <w:rtl/>
        </w:rPr>
        <w:t xml:space="preserve"/>
      </w:r>
    </w:p>
    <w:p>
      <w:pPr>
        <w:bidi/>
        <w:spacing w:after="120" w:before="0" w:line="300"/>
      </w:pPr>
      <w:r>
        <w:rPr>
          <w:rFonts w:ascii="Arial" w:cs="Arial" w:hAnsi="Arial"/>
          <w:b/>
          <w:bCs/>
          <w:i w:val="false"/>
          <w:sz w:val="22"/>
          <w:szCs w:val="22"/>
          <w:rtl/>
        </w:rPr>
        <w:t xml:space="preserve">הודעות לגיטימיות: </w:t>
      </w:r>
      <w:r>
        <w:rPr>
          <w:rFonts w:ascii="Arial" w:cs="Arial" w:hAnsi="Arial"/>
          <w:b w:val="false"/>
          <w:i w:val="false"/>
          <w:sz w:val="22"/>
          <w:szCs w:val="22"/>
          <w:rtl/>
        </w:rPr>
        <w:t xml:space="preserve">אף אחת מ-30 ההודעות הלגיטימיות לא סומנה. 7 מהן קיבלו ציון נמוך שאינו אפס (15 עד 20), כולן מתחת לסף, ולכן המשתמש לא ראה אזהרה.</w:t>
      </w:r>
    </w:p>
    <w:p>
      <w:pPr>
        <w:pStyle w:val="Heading1"/>
        <w:keepNext/>
        <w:pBdr>
          <w:bottom w:val="single" w:color="0B3D59" w:sz="6" w:space="4"/>
        </w:pBdr>
        <w:bidi/>
        <w:spacing w:after="160" w:before="360"/>
      </w:pPr>
      <w:r>
        <w:rPr>
          <w:rFonts w:ascii="Arial" w:cs="Arial" w:hAnsi="Arial"/>
          <w:b/>
          <w:bCs/>
          <w:i w:val="false"/>
          <w:color w:val="0B3D59"/>
          <w:sz w:val="30"/>
          <w:szCs w:val="30"/>
          <w:rtl/>
        </w:rPr>
        <w:t xml:space="preserve">4. ניתוח הפספוסים</w:t>
      </w:r>
    </w:p>
    <w:p>
      <w:pPr>
        <w:bidi/>
        <w:spacing w:after="120" w:before="0" w:line="300"/>
      </w:pPr>
      <w:r>
        <w:rPr>
          <w:rFonts w:ascii="Arial" w:cs="Arial" w:hAnsi="Arial"/>
          <w:b w:val="false"/>
          <w:i w:val="false"/>
          <w:sz w:val="22"/>
          <w:szCs w:val="22"/>
          <w:rtl/>
        </w:rPr>
        <w:t xml:space="preserve">עשר ההודעות שפוספסו מתחלקות לארבע קבוצות ברורות. בכל אחת מהן הסיבה היא פער בכיסוי של החוקים, ולא טעות מקרית.</w:t>
      </w:r>
    </w:p>
    <w:p>
      <w:pPr>
        <w:pStyle w:val="Heading2"/>
        <w:keepNext/>
        <w:bidi/>
        <w:spacing w:after="100" w:before="240"/>
      </w:pPr>
      <w:r>
        <w:rPr>
          <w:rFonts w:ascii="Arial" w:cs="Arial" w:hAnsi="Arial"/>
          <w:b/>
          <w:bCs/>
          <w:i w:val="false"/>
          <w:color w:val="0B3D59"/>
          <w:sz w:val="25"/>
          <w:szCs w:val="25"/>
          <w:rtl/>
        </w:rPr>
        <w:t xml:space="preserve">א. קבצים מצורפים מסוכנים שאינם קובצי הרצה</w:t>
      </w:r>
    </w:p>
    <w:p>
      <w:pPr>
        <w:bidi/>
        <w:spacing w:after="120" w:before="0" w:line="300"/>
      </w:pPr>
      <w:r>
        <w:rPr>
          <w:rFonts w:ascii="Arial" w:cs="Arial" w:hAnsi="Arial"/>
          <w:b w:val="false"/>
          <w:i w:val="false"/>
          <w:sz w:val="22"/>
          <w:szCs w:val="22"/>
          <w:rtl/>
        </w:rPr>
        <w:t xml:space="preserve">קובץ HTML שמתחזה לטופס הטבות, קובץ ISO שמתחזה לבקשת ביקורת, וקובץ ZIP שמתחזה לחשבונית. רשימת סיומות הקבצים המסוכנים כוללת קובצי הרצה ומאקרו, אך לא את הסוגים האלה, אף שקובצי HTML ו-ISO הם כיום מהאמצעים הנפוצים ביותר להפצת נוזקה. לעומת זאת, קובץ עם סיומת כפולה (PDF שהוא בעצם קובץ הרצה) זוהה בציון 85.</w:t>
      </w:r>
    </w:p>
    <w:p>
      <w:pPr>
        <w:pStyle w:val="Heading2"/>
        <w:keepNext/>
        <w:bidi/>
        <w:spacing w:after="100" w:before="240"/>
      </w:pPr>
      <w:r>
        <w:rPr>
          <w:rFonts w:ascii="Arial" w:cs="Arial" w:hAnsi="Arial"/>
          <w:b/>
          <w:bCs/>
          <w:i w:val="false"/>
          <w:color w:val="0B3D59"/>
          <w:sz w:val="25"/>
          <w:szCs w:val="25"/>
          <w:rtl/>
        </w:rPr>
        <w:t xml:space="preserve">ב. הונאת מנכ"ל וספק ללא קישורים</w:t>
      </w:r>
    </w:p>
    <w:p>
      <w:pPr>
        <w:bidi/>
        <w:spacing w:after="120" w:before="0" w:line="300"/>
      </w:pPr>
      <w:r>
        <w:rPr>
          <w:rFonts w:ascii="Arial" w:cs="Arial" w:hAnsi="Arial"/>
          <w:b w:val="false"/>
          <w:i w:val="false"/>
          <w:sz w:val="22"/>
          <w:szCs w:val="22"/>
          <w:rtl/>
        </w:rPr>
        <w:t xml:space="preserve">בקשה לקנות כרטיסי מתנה, בקשה לשנות פרטי חשבון בנק למשכורת, והודעה מספק על "שינוי פרטי בנק". בהודעות אלה אין קישור, אין קובץ מסוכן ואין מותג, רק טקסט משכנע. למנוע אין כיום חוקים שמזהים בקשות מהסוג הזה. מתוך ארבע הודעות בקבוצה, רק אחת זוהתה, וגם היא על הסף (35).</w:t>
      </w:r>
    </w:p>
    <w:p>
      <w:pPr>
        <w:pStyle w:val="Heading2"/>
        <w:keepNext/>
        <w:bidi/>
        <w:spacing w:after="100" w:before="240"/>
      </w:pPr>
      <w:r>
        <w:rPr>
          <w:rFonts w:ascii="Arial" w:cs="Arial" w:hAnsi="Arial"/>
          <w:b/>
          <w:bCs/>
          <w:i w:val="false"/>
          <w:color w:val="0B3D59"/>
          <w:sz w:val="25"/>
          <w:szCs w:val="25"/>
          <w:rtl/>
        </w:rPr>
        <w:t xml:space="preserve">ג. דיוג שאינו מתחזה למותג מוכר</w:t>
      </w:r>
    </w:p>
    <w:p>
      <w:pPr>
        <w:bidi/>
        <w:spacing w:after="120" w:before="0" w:line="300"/>
      </w:pPr>
      <w:r>
        <w:rPr>
          <w:rFonts w:ascii="Arial" w:cs="Arial" w:hAnsi="Arial"/>
          <w:b w:val="false"/>
          <w:i w:val="false"/>
          <w:sz w:val="22"/>
          <w:szCs w:val="22"/>
          <w:rtl/>
        </w:rPr>
        <w:t xml:space="preserve">שתי הודעות מ"מחלקת IT" שמבקשות לאמת סיסמה, והודעה מ"שירות הדואר" על דמי משלוח. חוק ההתחזות פועל רק עבור רשימה של 12 מותגים מוכרים, ולכן שולח בשם "IT Helpdesk" או "Postal Delivery Service" אינו מפעיל אותו. בנוסף, ניסוחים כמו "validate their Active Directory credentials" או "retain your current password" לא נתפסו על ידי חוק זיהוי בקשת הסיסמה, שמכיר רק ניסוחים מסוימים.</w:t>
      </w:r>
    </w:p>
    <w:p>
      <w:pPr>
        <w:pStyle w:val="Heading2"/>
        <w:keepNext/>
        <w:bidi/>
        <w:spacing w:after="100" w:before="240"/>
      </w:pPr>
      <w:r>
        <w:rPr>
          <w:rFonts w:ascii="Arial" w:cs="Arial" w:hAnsi="Arial"/>
          <w:b/>
          <w:bCs/>
          <w:i w:val="false"/>
          <w:color w:val="0B3D59"/>
          <w:sz w:val="25"/>
          <w:szCs w:val="25"/>
          <w:rtl/>
        </w:rPr>
        <w:t xml:space="preserve">ד. מתחת לסף</w:t>
      </w:r>
    </w:p>
    <w:p>
      <w:pPr>
        <w:bidi/>
        <w:spacing w:after="120" w:before="0" w:line="300"/>
      </w:pPr>
      <w:r>
        <w:rPr>
          <w:rFonts w:ascii="Arial" w:cs="Arial" w:hAnsi="Arial"/>
          <w:b w:val="false"/>
          <w:i w:val="false"/>
          <w:sz w:val="22"/>
          <w:szCs w:val="22"/>
          <w:rtl/>
        </w:rPr>
        <w:t xml:space="preserve">הודעה על "חידוש מנוי" של שירות תמיכה טכנית, עם קישור מקוצר ומספר טלפון, קיבלה 30, קרוב מאוד לסף. זו דוגמה להתקפה שבה כל סימן לבדו חלש, ורק השילוב ביניהם מעיד על ההונאה.</w:t>
      </w:r>
    </w:p>
    <w:p>
      <w:pPr>
        <w:pStyle w:val="Heading1"/>
        <w:keepNext/>
        <w:pBdr>
          <w:bottom w:val="single" w:color="0B3D59" w:sz="6" w:space="4"/>
        </w:pBdr>
        <w:bidi/>
        <w:spacing w:after="160" w:before="360"/>
      </w:pPr>
      <w:r>
        <w:rPr>
          <w:rFonts w:ascii="Arial" w:cs="Arial" w:hAnsi="Arial"/>
          <w:b/>
          <w:bCs/>
          <w:i w:val="false"/>
          <w:color w:val="0B3D59"/>
          <w:sz w:val="30"/>
          <w:szCs w:val="30"/>
          <w:rtl/>
        </w:rPr>
        <w:t xml:space="preserve">5. לקחים</w:t>
      </w:r>
    </w:p>
    <w:p>
      <w:pPr>
        <w:pStyle w:val="ListParagraph"/>
        <w:numPr>
          <w:ilvl w:val="0"/>
          <w:numId w:val="3"/>
        </w:numPr>
        <w:bidi/>
        <w:spacing w:after="100" w:before="0" w:line="300"/>
      </w:pPr>
      <w:r>
        <w:rPr>
          <w:rFonts w:ascii="Arial" w:cs="Arial" w:hAnsi="Arial"/>
          <w:b/>
          <w:bCs/>
          <w:i w:val="false"/>
          <w:sz w:val="22"/>
          <w:szCs w:val="22"/>
          <w:rtl/>
        </w:rPr>
        <w:t xml:space="preserve">המערכת טובה במה שמשאיר עקבות טכניים. </w:t>
      </w:r>
      <w:r>
        <w:rPr>
          <w:rFonts w:ascii="Arial" w:cs="Arial" w:hAnsi="Arial"/>
          <w:b w:val="false"/>
          <w:i w:val="false"/>
          <w:sz w:val="22"/>
          <w:szCs w:val="22"/>
          <w:rtl/>
        </w:rPr>
        <w:t xml:space="preserve">דומיין שאינו שייך למותג, קובץ עם סיומת כפולה וקישור שמוביל למקום אחר מזוהים היטב. הנדסה חברתית "נקייה", ללא קישור או קובץ, כמעט אינה מזוהה.</w:t>
      </w:r>
    </w:p>
    <w:p>
      <w:pPr>
        <w:pStyle w:val="ListParagraph"/>
        <w:numPr>
          <w:ilvl w:val="0"/>
          <w:numId w:val="3"/>
        </w:numPr>
        <w:bidi/>
        <w:spacing w:after="100" w:before="0" w:line="300"/>
      </w:pPr>
      <w:r>
        <w:rPr>
          <w:rFonts w:ascii="Arial" w:cs="Arial" w:hAnsi="Arial"/>
          <w:b/>
          <w:bCs/>
          <w:i w:val="false"/>
          <w:sz w:val="22"/>
          <w:szCs w:val="22"/>
          <w:rtl/>
        </w:rPr>
        <w:t xml:space="preserve">אזעקות השווא האמיתיות הגיעו מדואר אמיתי, לא מהמדגם. </w:t>
      </w:r>
      <w:r>
        <w:rPr>
          <w:rFonts w:ascii="Arial" w:cs="Arial" w:hAnsi="Arial"/>
          <w:b w:val="false"/>
          <w:i w:val="false"/>
          <w:sz w:val="22"/>
          <w:szCs w:val="22"/>
          <w:rtl/>
        </w:rPr>
        <w:t xml:space="preserve">במדגם הסינתטי נמדדו 0% אזעקות שווא, אך בבדיקה ידנית על תיבת דואר אמיתית באותו יום נמצאו שלוש הודעות לגיטימיות שסומנו (ניוזלטר, הודעה שיווקית של Netflix ומייל קבלת פנים). התקלות הספציפיות שגרמו לכך תוקנו, אך הודעת Netflix עדיין עשויה לקבל ציון "חשוד" בגלל בדיקות התוכן על HTML שיווקי. הודעות שנכתבו על ידי מודל שפה "נקיות" יותר מהודעות אמיתיות, ולכן מדגם כזה מעריך באופן אופטימי את שיעור אזעקות השווא.</w:t>
      </w:r>
    </w:p>
    <w:p>
      <w:pPr>
        <w:pStyle w:val="ListParagraph"/>
        <w:numPr>
          <w:ilvl w:val="0"/>
          <w:numId w:val="3"/>
        </w:numPr>
        <w:bidi/>
        <w:spacing w:after="100" w:before="0" w:line="300"/>
      </w:pPr>
      <w:r>
        <w:rPr>
          <w:rFonts w:ascii="Arial" w:cs="Arial" w:hAnsi="Arial"/>
          <w:b/>
          <w:bCs/>
          <w:i w:val="false"/>
          <w:sz w:val="22"/>
          <w:szCs w:val="22"/>
          <w:rtl/>
        </w:rPr>
        <w:t xml:space="preserve">התלות ברשימת מותגים מגבילה את הכיסוי. </w:t>
      </w:r>
      <w:r>
        <w:rPr>
          <w:rFonts w:ascii="Arial" w:cs="Arial" w:hAnsi="Arial"/>
          <w:b w:val="false"/>
          <w:i w:val="false"/>
          <w:sz w:val="22"/>
          <w:szCs w:val="22"/>
          <w:rtl/>
        </w:rPr>
        <w:t xml:space="preserve">כל שמונה ההתחזויות למותגים מהרשימה זוהו, אך כל התחזות שאינה למותג מהרשימה (מחלקת IT, דואר, ספק) עוברת.</w:t>
      </w:r>
    </w:p>
    <w:p>
      <w:pPr>
        <w:pStyle w:val="ListParagraph"/>
        <w:numPr>
          <w:ilvl w:val="0"/>
          <w:numId w:val="3"/>
        </w:numPr>
        <w:bidi/>
        <w:spacing w:after="100" w:before="0" w:line="300"/>
      </w:pPr>
      <w:r>
        <w:rPr>
          <w:rFonts w:ascii="Arial" w:cs="Arial" w:hAnsi="Arial"/>
          <w:b/>
          <w:bCs/>
          <w:i w:val="false"/>
          <w:sz w:val="22"/>
          <w:szCs w:val="22"/>
          <w:rtl/>
        </w:rPr>
        <w:t xml:space="preserve">הסימן "תשובות נשלחות לכתובת אחרת" חלש. </w:t>
      </w:r>
      <w:r>
        <w:rPr>
          <w:rFonts w:ascii="Arial" w:cs="Arial" w:hAnsi="Arial"/>
          <w:b w:val="false"/>
          <w:i w:val="false"/>
          <w:sz w:val="22"/>
          <w:szCs w:val="22"/>
          <w:rtl/>
        </w:rPr>
        <w:t xml:space="preserve">הוא הופיע ב-4 הודעות לגיטימיות ורק ב-1 זדונית. שירותים לגיטימיים רבים (סליקה, שיתוף מסמכים, מערכות דיוור) מגדירים כתובת תשובה של צד שלישי.</w:t>
      </w:r>
    </w:p>
    <w:p>
      <w:pPr>
        <w:pStyle w:val="ListParagraph"/>
        <w:numPr>
          <w:ilvl w:val="0"/>
          <w:numId w:val="3"/>
        </w:numPr>
        <w:bidi/>
        <w:spacing w:after="100" w:before="0" w:line="300"/>
      </w:pPr>
      <w:r>
        <w:rPr>
          <w:rFonts w:ascii="Arial" w:cs="Arial" w:hAnsi="Arial"/>
          <w:b/>
          <w:bCs/>
          <w:i w:val="false"/>
          <w:sz w:val="22"/>
          <w:szCs w:val="22"/>
          <w:rtl/>
        </w:rPr>
        <w:t xml:space="preserve">הדרגה "זדוני" כמעט אינה מושגת. </w:t>
      </w:r>
      <w:r>
        <w:rPr>
          <w:rFonts w:ascii="Arial" w:cs="Arial" w:hAnsi="Arial"/>
          <w:b w:val="false"/>
          <w:i w:val="false"/>
          <w:sz w:val="22"/>
          <w:szCs w:val="22"/>
          <w:rtl/>
        </w:rPr>
        <w:t xml:space="preserve">רק 3 מ-20 ההודעות הזדוניות הגיעו לציון 70. מבחינת המשתמש זה פחות חמור, כי גם "חשוד" מוצג באזהרה, אבל הכרטיס האדום שמור כמעט רק למקרים קיצוניים.</w:t>
      </w:r>
    </w:p>
    <w:p>
      <w:pPr>
        <w:pStyle w:val="ListParagraph"/>
        <w:numPr>
          <w:ilvl w:val="0"/>
          <w:numId w:val="3"/>
        </w:numPr>
        <w:bidi/>
        <w:spacing w:after="100" w:before="0" w:line="300"/>
      </w:pPr>
      <w:r>
        <w:rPr>
          <w:rFonts w:ascii="Arial" w:cs="Arial" w:hAnsi="Arial"/>
          <w:b/>
          <w:bCs/>
          <w:i w:val="false"/>
          <w:sz w:val="22"/>
          <w:szCs w:val="22"/>
          <w:rtl/>
        </w:rPr>
        <w:t xml:space="preserve">גם תהליך הבדיקה דורש בקרה. </w:t>
      </w:r>
      <w:r>
        <w:rPr>
          <w:rFonts w:ascii="Arial" w:cs="Arial" w:hAnsi="Arial"/>
          <w:b w:val="false"/>
          <w:i w:val="false"/>
          <w:sz w:val="22"/>
          <w:szCs w:val="22"/>
          <w:rtl/>
        </w:rPr>
        <w:t xml:space="preserve">בהעתקת הנתונים מממשק הצ'אט נוצרו שיבושים: קישורים שנעטפו בקישורי חיפוש, תגיות HTML שנעלמו, וקבצים שנחתכו באמצע. כל קובץ נבדק מול סכמת הקלט לפני ההרצה, וזה מה שאפשר לזהות את הבעיות ולתקן את דרך ההעברה.</w:t>
      </w:r>
    </w:p>
    <w:p>
      <w:pPr>
        <w:pStyle w:val="Heading1"/>
        <w:keepNext/>
        <w:pBdr>
          <w:bottom w:val="single" w:color="0B3D59" w:sz="6" w:space="4"/>
        </w:pBdr>
        <w:bidi/>
        <w:spacing w:after="160" w:before="360"/>
      </w:pPr>
      <w:r>
        <w:rPr>
          <w:rFonts w:ascii="Arial" w:cs="Arial" w:hAnsi="Arial"/>
          <w:b/>
          <w:bCs/>
          <w:i w:val="false"/>
          <w:color w:val="0B3D59"/>
          <w:sz w:val="30"/>
          <w:szCs w:val="30"/>
          <w:rtl/>
        </w:rPr>
        <w:t xml:space="preserve">6. כיווני שיפור</w:t>
      </w:r>
    </w:p>
    <w:p>
      <w:pPr>
        <w:bidi/>
        <w:spacing w:after="120" w:before="0" w:line="300"/>
      </w:pPr>
      <w:r>
        <w:rPr>
          <w:rFonts w:ascii="Arial" w:cs="Arial" w:hAnsi="Arial"/>
          <w:b w:val="false"/>
          <w:i w:val="false"/>
          <w:sz w:val="22"/>
          <w:szCs w:val="22"/>
          <w:rtl/>
        </w:rPr>
        <w:t xml:space="preserve">השיפורים מסודרים לפי היחס בין התועלת הצפויה למאמץ. אף אחד מהם עדיין לא יושם, בכוונה: כל שינוי צריך להימדד על מדגם חדש ונפרד ולא על מדגם זה (ראו סעיף 7).</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569"/>
        <w:gridCol w:w="2800"/>
        <w:gridCol w:w="1769"/>
      </w:tblGrid>
      <w:tr>
        <w:trPr>
          <w:cantSplit/>
          <w:tblHeader/>
        </w:trPr>
        <w:tc>
          <w:tcPr>
            <w:tcW w:type="dxa" w:w="5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9"/>
                <w:szCs w:val="19"/>
                <w:rtl/>
              </w:rPr>
              <w:t xml:space="preserve">#</w:t>
            </w:r>
          </w:p>
        </w:tc>
        <w:tc>
          <w:tcPr>
            <w:tcW w:type="dxa" w:w="4569"/>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9"/>
                <w:szCs w:val="19"/>
                <w:rtl/>
              </w:rPr>
              <w:t xml:space="preserve">שיפור</w:t>
            </w:r>
          </w:p>
        </w:tc>
        <w:tc>
          <w:tcPr>
            <w:tcW w:type="dxa" w:w="28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9"/>
                <w:szCs w:val="19"/>
                <w:rtl/>
              </w:rPr>
              <w:t xml:space="preserve">קבוצת פספוסים</w:t>
            </w:r>
          </w:p>
        </w:tc>
        <w:tc>
          <w:tcPr>
            <w:tcW w:type="dxa" w:w="1769"/>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9"/>
                <w:szCs w:val="19"/>
                <w:rtl/>
              </w:rPr>
              <w:t xml:space="preserve">מאמץ</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9"/>
                <w:szCs w:val="19"/>
                <w:rtl/>
              </w:rPr>
              <w:t xml:space="preserve">1</w:t>
            </w:r>
          </w:p>
        </w:tc>
        <w:tc>
          <w:tcPr>
            <w:tcW w:type="dxa" w:w="4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9"/>
                <w:szCs w:val="19"/>
                <w:rtl/>
              </w:rPr>
              <w:t xml:space="preserve">הרחבת רשימת הקבצים המסוכנים לקובצי HTML, ISO, IMG, VHD, LNK ו-OneNote, ולקובץ ZIP כשהוא מגיע יחד עם לחץ או בקשת תשלום</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9"/>
                <w:szCs w:val="19"/>
                <w:rtl/>
              </w:rPr>
              <w:t xml:space="preserve">קבצים מצורפים</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9"/>
                <w:szCs w:val="19"/>
                <w:rtl/>
              </w:rPr>
              <w:t xml:space="preserve">נמוך</w:t>
            </w:r>
          </w:p>
        </w:tc>
      </w:tr>
      <w:tr>
        <w:trPr>
          <w:cantSplit/>
          <w:tblHeader w:val="off"/>
        </w:trPr>
        <w:tc>
          <w:tcPr>
            <w:tcW w:type="dxa" w:w="5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9"/>
                <w:szCs w:val="19"/>
                <w:rtl/>
              </w:rPr>
              <w:t xml:space="preserve">2</w:t>
            </w:r>
          </w:p>
        </w:tc>
        <w:tc>
          <w:tcPr>
            <w:tcW w:type="dxa" w:w="456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9"/>
                <w:szCs w:val="19"/>
                <w:rtl/>
              </w:rPr>
              <w:t xml:space="preserve">חוקי הונאה טקסטואלית: כרטיסי מתנה, העברה בנקאית, שינוי פרטי בנק, בקשה לסודיות ("אל תספר לאף אחד"), במיוחד משולח בדואר חינמי</w:t>
            </w:r>
          </w:p>
        </w:tc>
        <w:tc>
          <w:tcPr>
            <w:tcW w:type="dxa" w:w="28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9"/>
                <w:szCs w:val="19"/>
                <w:rtl/>
              </w:rPr>
              <w:t xml:space="preserve">הונאת מנכ"ל וספק</w:t>
            </w:r>
          </w:p>
        </w:tc>
        <w:tc>
          <w:tcPr>
            <w:tcW w:type="dxa" w:w="176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9"/>
                <w:szCs w:val="19"/>
                <w:rtl/>
              </w:rPr>
              <w:t xml:space="preserve">בינוני</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9"/>
                <w:szCs w:val="19"/>
                <w:rtl/>
              </w:rPr>
              <w:t xml:space="preserve">3</w:t>
            </w:r>
          </w:p>
        </w:tc>
        <w:tc>
          <w:tcPr>
            <w:tcW w:type="dxa" w:w="4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9"/>
                <w:szCs w:val="19"/>
                <w:rtl/>
              </w:rPr>
              <w:t xml:space="preserve">זיהוי התחזות כללית: שם תצוגה כמו "IT Helpdesk", "Administrator" או "Security Team" שנשלח מדומיין חיצוני או חינמי</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9"/>
                <w:szCs w:val="19"/>
                <w:rtl/>
              </w:rPr>
              <w:t xml:space="preserve">דיוג ללא מותג</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9"/>
                <w:szCs w:val="19"/>
                <w:rtl/>
              </w:rPr>
              <w:t xml:space="preserve">נמוך</w:t>
            </w:r>
          </w:p>
        </w:tc>
      </w:tr>
      <w:tr>
        <w:trPr>
          <w:cantSplit/>
          <w:tblHeader w:val="off"/>
        </w:trPr>
        <w:tc>
          <w:tcPr>
            <w:tcW w:type="dxa" w:w="5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9"/>
                <w:szCs w:val="19"/>
                <w:rtl/>
              </w:rPr>
              <w:t xml:space="preserve">4</w:t>
            </w:r>
          </w:p>
        </w:tc>
        <w:tc>
          <w:tcPr>
            <w:tcW w:type="dxa" w:w="456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9"/>
                <w:szCs w:val="19"/>
                <w:rtl/>
              </w:rPr>
              <w:t xml:space="preserve">הרחבת חוק בקשת הסיסמה לניסוחים נוספים, למשל their, retain ו-keep current password</w:t>
            </w:r>
          </w:p>
        </w:tc>
        <w:tc>
          <w:tcPr>
            <w:tcW w:type="dxa" w:w="28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9"/>
                <w:szCs w:val="19"/>
                <w:rtl/>
              </w:rPr>
              <w:t xml:space="preserve">דיוג ללא מותג</w:t>
            </w:r>
          </w:p>
        </w:tc>
        <w:tc>
          <w:tcPr>
            <w:tcW w:type="dxa" w:w="176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9"/>
                <w:szCs w:val="19"/>
                <w:rtl/>
              </w:rPr>
              <w:t xml:space="preserve">נמוך</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9"/>
                <w:szCs w:val="19"/>
                <w:rtl/>
              </w:rPr>
              <w:t xml:space="preserve">5</w:t>
            </w:r>
          </w:p>
        </w:tc>
        <w:tc>
          <w:tcPr>
            <w:tcW w:type="dxa" w:w="4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9"/>
                <w:szCs w:val="19"/>
                <w:rtl/>
              </w:rPr>
              <w:t xml:space="preserve">בחינת כיול הציון, כך ששילוב של סימנים חזקים מקטגוריות שונות יגיע לדרגת "זדוני"</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9"/>
                <w:szCs w:val="19"/>
                <w:rtl/>
              </w:rPr>
              <w:t xml:space="preserve">כללי</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9"/>
                <w:szCs w:val="19"/>
                <w:rtl/>
              </w:rPr>
              <w:t xml:space="preserve">בינוני</w:t>
            </w:r>
          </w:p>
        </w:tc>
      </w:tr>
      <w:tr>
        <w:trPr>
          <w:cantSplit/>
          <w:tblHeader w:val="off"/>
        </w:trPr>
        <w:tc>
          <w:tcPr>
            <w:tcW w:type="dxa" w:w="5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9"/>
                <w:szCs w:val="19"/>
                <w:rtl/>
              </w:rPr>
              <w:t xml:space="preserve">6</w:t>
            </w:r>
          </w:p>
        </w:tc>
        <w:tc>
          <w:tcPr>
            <w:tcW w:type="dxa" w:w="456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9"/>
                <w:szCs w:val="19"/>
                <w:rtl/>
              </w:rPr>
              <w:t xml:space="preserve">הפחתת המשקל של "תשובות לכתובת אחרת", או הפעלתו רק כשכתובת התשובה בדואר חינמי</w:t>
            </w:r>
          </w:p>
        </w:tc>
        <w:tc>
          <w:tcPr>
            <w:tcW w:type="dxa" w:w="28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9"/>
                <w:szCs w:val="19"/>
                <w:rtl/>
              </w:rPr>
              <w:t xml:space="preserve">אזעקות שווא</w:t>
            </w:r>
          </w:p>
        </w:tc>
        <w:tc>
          <w:tcPr>
            <w:tcW w:type="dxa" w:w="176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9"/>
                <w:szCs w:val="19"/>
                <w:rtl/>
              </w:rPr>
              <w:t xml:space="preserve">נמוך</w:t>
            </w:r>
          </w:p>
        </w:tc>
      </w:tr>
      <w:tr>
        <w:trPr>
          <w:cantSplit/>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9"/>
                <w:szCs w:val="19"/>
                <w:rtl/>
              </w:rPr>
              <w:t xml:space="preserve">7</w:t>
            </w:r>
          </w:p>
        </w:tc>
        <w:tc>
          <w:tcPr>
            <w:tcW w:type="dxa" w:w="4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9"/>
                <w:szCs w:val="19"/>
                <w:rtl/>
              </w:rPr>
              <w:t xml:space="preserve">מדידה על נתונים אמיתיים: מאגרי דיוג ציבוריים, הודעות לגיטימיות אמיתיות, ומדגם נפרד לכל סבב שינויים</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9"/>
                <w:szCs w:val="19"/>
                <w:rtl/>
              </w:rPr>
              <w:t xml:space="preserve">מתודולוגיה</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9"/>
                <w:szCs w:val="19"/>
                <w:rtl/>
              </w:rPr>
              <w:t xml:space="preserve">בינוני</w:t>
            </w:r>
          </w:p>
        </w:tc>
      </w:tr>
      <w:tr>
        <w:trPr>
          <w:cantSplit/>
          <w:tblHeader w:val="off"/>
        </w:trPr>
        <w:tc>
          <w:tcPr>
            <w:tcW w:type="dxa" w:w="5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9"/>
                <w:szCs w:val="19"/>
                <w:rtl/>
              </w:rPr>
              <w:t xml:space="preserve">8</w:t>
            </w:r>
          </w:p>
        </w:tc>
        <w:tc>
          <w:tcPr>
            <w:tcW w:type="dxa" w:w="456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9"/>
                <w:szCs w:val="19"/>
                <w:rtl/>
              </w:rPr>
              <w:t xml:space="preserve">בדיקת SPF, DKIM ו-DMARC מכותרות ההודעה, אם תאושר הרשאת גישה רחבה יותר</w:t>
            </w:r>
          </w:p>
        </w:tc>
        <w:tc>
          <w:tcPr>
            <w:tcW w:type="dxa" w:w="28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9"/>
                <w:szCs w:val="19"/>
                <w:rtl/>
              </w:rPr>
              <w:t xml:space="preserve">כללי</w:t>
            </w:r>
          </w:p>
        </w:tc>
        <w:tc>
          <w:tcPr>
            <w:tcW w:type="dxa" w:w="1769"/>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9"/>
                <w:szCs w:val="19"/>
                <w:rtl/>
              </w:rPr>
              <w:t xml:space="preserve">גבוה</w:t>
            </w:r>
          </w:p>
        </w:tc>
      </w:tr>
    </w:tbl>
    <w:p>
      <w:pPr>
        <w:pStyle w:val="Heading1"/>
        <w:keepNext/>
        <w:pBdr>
          <w:bottom w:val="single" w:color="0B3D59" w:sz="6" w:space="4"/>
        </w:pBdr>
        <w:bidi/>
        <w:spacing w:after="160" w:before="360"/>
      </w:pPr>
      <w:r>
        <w:rPr>
          <w:rFonts w:ascii="Arial" w:cs="Arial" w:hAnsi="Arial"/>
          <w:b/>
          <w:bCs/>
          <w:i w:val="false"/>
          <w:color w:val="0B3D59"/>
          <w:sz w:val="30"/>
          <w:szCs w:val="30"/>
          <w:rtl/>
        </w:rPr>
        <w:t xml:space="preserve">7. מגבלות הבדיקה</w:t>
      </w:r>
    </w:p>
    <w:p>
      <w:pPr>
        <w:pStyle w:val="ListParagraph"/>
        <w:numPr>
          <w:ilvl w:val="0"/>
          <w:numId w:val="2"/>
        </w:numPr>
        <w:bidi/>
        <w:spacing w:after="80" w:before="0" w:line="300"/>
      </w:pPr>
      <w:r>
        <w:rPr>
          <w:rFonts w:ascii="Arial" w:cs="Arial" w:hAnsi="Arial"/>
          <w:b/>
          <w:bCs/>
          <w:i w:val="false"/>
          <w:sz w:val="22"/>
          <w:szCs w:val="22"/>
          <w:rtl/>
        </w:rPr>
        <w:t xml:space="preserve">מדגם קטן. </w:t>
      </w:r>
      <w:r>
        <w:rPr>
          <w:rFonts w:ascii="Arial" w:cs="Arial" w:hAnsi="Arial"/>
          <w:b w:val="false"/>
          <w:i w:val="false"/>
          <w:sz w:val="22"/>
          <w:szCs w:val="22"/>
          <w:rtl/>
        </w:rPr>
        <w:t xml:space="preserve">עם 20 הודעות זדוניות, כל הודעה שווה חמש נקודות אחוז בשיעור הגילוי. התוצאות מצביעות על מגמות, לא על מספרים מדויקים.</w:t>
      </w:r>
    </w:p>
    <w:p>
      <w:pPr>
        <w:pStyle w:val="ListParagraph"/>
        <w:numPr>
          <w:ilvl w:val="0"/>
          <w:numId w:val="2"/>
        </w:numPr>
        <w:bidi/>
        <w:spacing w:after="80" w:before="0" w:line="300"/>
      </w:pPr>
      <w:r>
        <w:rPr>
          <w:rFonts w:ascii="Arial" w:cs="Arial" w:hAnsi="Arial"/>
          <w:b/>
          <w:bCs/>
          <w:i w:val="false"/>
          <w:sz w:val="22"/>
          <w:szCs w:val="22"/>
          <w:rtl/>
        </w:rPr>
        <w:t xml:space="preserve">מדגם סינתטי. </w:t>
      </w:r>
      <w:r>
        <w:rPr>
          <w:rFonts w:ascii="Arial" w:cs="Arial" w:hAnsi="Arial"/>
          <w:b w:val="false"/>
          <w:i w:val="false"/>
          <w:sz w:val="22"/>
          <w:szCs w:val="22"/>
          <w:rtl/>
        </w:rPr>
        <w:t xml:space="preserve">ההודעות נכתבו על ידי מודל שפה. הן מגוונות וריאליסטיות, אבל נקיות יותר מדואר אמיתי, במיוחד ההודעות הלגיטימיות.</w:t>
      </w:r>
    </w:p>
    <w:p>
      <w:pPr>
        <w:pStyle w:val="ListParagraph"/>
        <w:numPr>
          <w:ilvl w:val="0"/>
          <w:numId w:val="2"/>
        </w:numPr>
        <w:bidi/>
        <w:spacing w:after="80" w:before="0" w:line="300"/>
      </w:pPr>
      <w:r>
        <w:rPr>
          <w:rFonts w:ascii="Arial" w:cs="Arial" w:hAnsi="Arial"/>
          <w:b/>
          <w:bCs/>
          <w:i w:val="false"/>
          <w:sz w:val="22"/>
          <w:szCs w:val="22"/>
          <w:rtl/>
        </w:rPr>
        <w:t xml:space="preserve">אין לכייל על מדגם זה. </w:t>
      </w:r>
      <w:r>
        <w:rPr>
          <w:rFonts w:ascii="Arial" w:cs="Arial" w:hAnsi="Arial"/>
          <w:b w:val="false"/>
          <w:i w:val="false"/>
          <w:sz w:val="22"/>
          <w:szCs w:val="22"/>
          <w:rtl/>
        </w:rPr>
        <w:t xml:space="preserve">אם החוקים ישונו כדי לתפוס את ההודעות שפוספסו כאן, מדידה חוזרת על אותו מדגם תראה שיפור מלאכותי. כל שינוי צריך להימדד על מדגם חדש.</w:t>
      </w:r>
    </w:p>
    <w:p>
      <w:pPr>
        <w:pStyle w:val="ListParagraph"/>
        <w:numPr>
          <w:ilvl w:val="0"/>
          <w:numId w:val="2"/>
        </w:numPr>
        <w:bidi/>
        <w:spacing w:after="80" w:before="0" w:line="300"/>
      </w:pPr>
      <w:r>
        <w:rPr>
          <w:rFonts w:ascii="Arial" w:cs="Arial" w:hAnsi="Arial"/>
          <w:b/>
          <w:bCs/>
          <w:i w:val="false"/>
          <w:sz w:val="22"/>
          <w:szCs w:val="22"/>
          <w:rtl/>
        </w:rPr>
        <w:t xml:space="preserve">כיסוי חלקי של המערכת. </w:t>
      </w:r>
      <w:r>
        <w:rPr>
          <w:rFonts w:ascii="Arial" w:cs="Arial" w:hAnsi="Arial"/>
          <w:b w:val="false"/>
          <w:i w:val="false"/>
          <w:sz w:val="22"/>
          <w:szCs w:val="22"/>
          <w:rtl/>
        </w:rPr>
        <w:t xml:space="preserve">הבדיקה מודדת את מנוע הניתוח בשרת. בדיקת ההתחזות לאנשי קשר מהימנים ובדיקות SPF ו-DKIM אינן נכללות בה.</w:t>
      </w:r>
    </w:p>
    <w:p>
      <w:pPr>
        <w:pStyle w:val="Heading1"/>
        <w:keepNext/>
        <w:pBdr>
          <w:bottom w:val="single" w:color="0B3D59" w:sz="6" w:space="4"/>
        </w:pBdr>
        <w:bidi/>
        <w:spacing w:after="160" w:before="360"/>
      </w:pPr>
      <w:r>
        <w:rPr>
          <w:rFonts w:ascii="Arial" w:cs="Arial" w:hAnsi="Arial"/>
          <w:b/>
          <w:bCs/>
          <w:i w:val="false"/>
          <w:color w:val="0B3D59"/>
          <w:sz w:val="30"/>
          <w:szCs w:val="30"/>
          <w:rtl/>
        </w:rPr>
        <w:t xml:space="preserve">נספח: תוצאות לכל הודעה</w:t>
      </w:r>
    </w:p>
    <w:p>
      <w:pPr>
        <w:bidi/>
        <w:spacing w:after="120" w:before="0" w:line="300"/>
      </w:pPr>
      <w:r>
        <w:rPr>
          <w:rFonts w:ascii="Arial" w:cs="Arial" w:hAnsi="Arial"/>
          <w:b w:val="false"/>
          <w:i w:val="false"/>
          <w:color w:val="595959"/>
          <w:sz w:val="20"/>
          <w:szCs w:val="20"/>
          <w:rtl/>
        </w:rPr>
        <w:t xml:space="preserve">סימון ✓ פירושו שהמערכת צדקה: הודעה זדונית סומנה, או הודעה לגיטימית לא סומנה.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100"/>
        <w:gridCol w:w="4438"/>
        <w:gridCol w:w="900"/>
        <w:gridCol w:w="1300"/>
        <w:gridCol w:w="900"/>
      </w:tblGrid>
      <w:tr>
        <w:trPr>
          <w:cantSplit/>
          <w:tblHeader/>
        </w:trPr>
        <w:tc>
          <w:tcPr>
            <w:tcW w:type="dxa" w:w="10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8"/>
                <w:szCs w:val="18"/>
                <w:rtl/>
              </w:rPr>
              <w:t xml:space="preserve">מזהה</w:t>
            </w:r>
          </w:p>
        </w:tc>
        <w:tc>
          <w:tcPr>
            <w:tcW w:type="dxa" w:w="11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8"/>
                <w:szCs w:val="18"/>
                <w:rtl/>
              </w:rPr>
              <w:t xml:space="preserve">סיווג</w:t>
            </w:r>
          </w:p>
        </w:tc>
        <w:tc>
          <w:tcPr>
            <w:tcW w:type="dxa" w:w="4438"/>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8"/>
                <w:szCs w:val="18"/>
                <w:rtl/>
              </w:rPr>
              <w:t xml:space="preserve">סוג</w:t>
            </w:r>
          </w:p>
        </w:tc>
        <w:tc>
          <w:tcPr>
            <w:tcW w:type="dxa" w:w="9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8"/>
                <w:szCs w:val="18"/>
                <w:rtl/>
              </w:rPr>
              <w:t xml:space="preserve">ציון</w:t>
            </w:r>
          </w:p>
        </w:tc>
        <w:tc>
          <w:tcPr>
            <w:tcW w:type="dxa" w:w="13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8"/>
                <w:szCs w:val="18"/>
                <w:rtl/>
              </w:rPr>
              <w:t xml:space="preserve">הכרעה</w:t>
            </w:r>
          </w:p>
        </w:tc>
        <w:tc>
          <w:tcPr>
            <w:tcW w:type="dxa" w:w="900"/>
            <w:tcBorders>
              <w:top w:val="single" w:color="BFBFBF" w:sz="4"/>
              <w:left w:val="single" w:color="BFBFBF" w:sz="4"/>
              <w:bottom w:val="single" w:color="BFBFBF" w:sz="4"/>
              <w:right w:val="single" w:color="BFBFBF" w:sz="4"/>
            </w:tcBorders>
            <w:shd w:fill="0B3D59" w:color="auto" w:val="clear"/>
            <w:tcMar>
              <w:top w:type="dxa" w:w="60"/>
              <w:left w:type="dxa" w:w="100"/>
              <w:bottom w:type="dxa" w:w="60"/>
              <w:right w:type="dxa" w:w="100"/>
            </w:tcMar>
          </w:tcPr>
          <w:p>
            <w:pPr>
              <w:bidi/>
            </w:pPr>
            <w:r>
              <w:rPr>
                <w:rFonts w:ascii="Arial" w:cs="Arial" w:hAnsi="Arial"/>
                <w:b/>
                <w:bCs/>
                <w:i w:val="false"/>
                <w:color w:val="FFFFFF"/>
                <w:sz w:val="18"/>
                <w:szCs w:val="18"/>
                <w:rtl/>
              </w:rPr>
              <w:t xml:space="preserve"/>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b1-01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שיווק וניוזלטרים</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b1-02</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התחזות למותג מוכר</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50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חשוד</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b1-03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שיווק וניוזלטרים</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b1-04</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התחזות למותג מוכר</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35</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חשוד</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b1-05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שיווק וניוזלטרים</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b1-06</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שיווק וניוזלטרים</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b1-07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התחזות למותג מוכר</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75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זדוני</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b1-08</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שיווק וניוזלטרים</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b1-09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דיוג שלא מתחזה למותג</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b1-10</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שיווק וניוזלטרים</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התראות אבטחה וחשבון</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b2-2</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התראות אבטחה וחשבון</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התחזות למותג מוכר</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70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זדוני</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b2-4</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התראות אבטחה וחשבון</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20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התחזות למותג מוכר</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65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חשוד</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b2-6</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התראות אבטחה וחשבון</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20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b2-7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התחזות למותג מוכר</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חשוד</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b2-8</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התראות אבטחה וחשבון</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b2-9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דיוג שלא מתחזה למותג</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b2-10</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התראות אבטחה וחשבון</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b3-1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עבודה וקבצים</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b3-2</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הפצת נוזקה בקובץ מצורף</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b3-3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עבודה וקבצים</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b3-4</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הפצת נוזקה בקובץ מצורף</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b3-5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עבודה וקבצים</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b3-6</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הפצת נוזקה בקובץ מצורף</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85</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זדוני</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b3-7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עבודה וקבצים</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b3-8</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הפצת נוזקה בקובץ מצורף</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b3-9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עבודה וקבצים</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b3-10</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עבודה וקבצים</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b4-01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משלוחים, הזמנות ובנק</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b4-02</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משלוחים, הזמנות ובנק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15</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b4-03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התחזות למותג מוכר</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35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חשוד</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b4-04</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משלוחים, הזמנות ובנק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b4-05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התחזות למותג מוכר</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65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חשוד</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b4-06</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משלוחים, הזמנות ובנק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b4-07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הונאת "חידוש מנוי" עם מספר טלפון</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b4-08</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משלוחים, הזמנות ובנק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b4-09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דיוג שלא מתחזה למותג</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b4-10</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משלוחים, הזמנות ובנק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אישי וצוות</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b5-2</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הונאת מנכ"ל / ספק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35</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חשוד</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b5-3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אישי וצוות</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b5-4</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הונאת מנכ"ל / ספק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b5-5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אישי וצוות</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b5-6</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הונאת מנכ"ל / ספק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b5-7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אישי וצוות</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b5-8</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זדוני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הונאת מנכ"ל / ספק</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20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C62828"/>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b5-9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hAnsi="Arial"/>
                <w:b w:val="false"/>
                <w:i w:val="false"/>
                <w:sz w:val="18"/>
                <w:szCs w:val="18"/>
                <w:rtl/>
              </w:rPr>
              <w:t xml:space="preserve">אישי וצוות</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r>
        <w:trPr>
          <w:cantSplit/>
          <w:tblHeader w:val="off"/>
        </w:trPr>
        <w:tc>
          <w:tcPr>
            <w:tcW w:type="dxa" w:w="10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b5-10</w:t>
            </w:r>
          </w:p>
        </w:tc>
        <w:tc>
          <w:tcPr>
            <w:tcW w:type="dxa" w:w="11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לגיטימי</w:t>
            </w:r>
          </w:p>
        </w:tc>
        <w:tc>
          <w:tcPr>
            <w:tcW w:type="dxa" w:w="4438"/>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pPr>
            <w:r>
              <w:rPr>
                <w:rFonts w:ascii="Arial" w:cs="Arial" w:hAnsi="Arial"/>
                <w:b w:val="false"/>
                <w:i w:val="false"/>
                <w:sz w:val="18"/>
                <w:szCs w:val="18"/>
                <w:rtl/>
              </w:rPr>
              <w:t xml:space="preserve">אישי וצוות</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0</w:t>
            </w:r>
          </w:p>
        </w:tc>
        <w:tc>
          <w:tcPr>
            <w:tcW w:type="dxa" w:w="13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val="false"/>
                <w:i w:val="false"/>
                <w:sz w:val="18"/>
                <w:szCs w:val="18"/>
                <w:rtl/>
              </w:rPr>
              <w:t xml:space="preserve">בטוח</w:t>
            </w:r>
          </w:p>
        </w:tc>
        <w:tc>
          <w:tcPr>
            <w:tcW w:type="dxa" w:w="900"/>
            <w:tcBorders>
              <w:top w:val="single" w:color="BFBFBF" w:sz="4"/>
              <w:left w:val="single" w:color="BFBFBF" w:sz="4"/>
              <w:bottom w:val="single" w:color="BFBFBF" w:sz="4"/>
              <w:right w:val="single" w:color="BFBFBF" w:sz="4"/>
            </w:tcBorders>
            <w:shd w:fill="F7F9FA" w:color="auto" w:val="clear"/>
            <w:tcMar>
              <w:top w:type="dxa" w:w="60"/>
              <w:left w:type="dxa" w:w="100"/>
              <w:bottom w:type="dxa" w:w="60"/>
              <w:right w:type="dxa" w:w="100"/>
            </w:tcMar>
          </w:tcPr>
          <w:p>
            <w:pPr>
              <w:bidi/>
              <w:jc w:val="center"/>
            </w:pPr>
            <w:r>
              <w:rPr>
                <w:rFonts w:ascii="Arial" w:cs="Arial" w:hAnsi="Arial"/>
                <w:b/>
                <w:bCs/>
                <w:i w:val="false"/>
                <w:color w:val="2E7D6B"/>
                <w:sz w:val="18"/>
                <w:szCs w:val="18"/>
                <w:rtl/>
              </w:rPr>
              <w:t xml:space="preserv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hAnsi="Arial"/>
        <w:b w:val="false"/>
        <w:i w:val="false"/>
        <w:color w:val="8C8C8C"/>
        <w:sz w:val="16"/>
        <w:szCs w:val="16"/>
        <w:rtl/>
      </w:rPr>
      <w:t xml:space="preserve">Lighthouse  |  דוח הערכת איכות הזיהוי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40" w:hanging="300"/>
      </w:pPr>
    </w:lvl>
  </w:abstractNum>
  <w:abstractNum w:abstractNumId="3" w15:restartNumberingAfterBreak="0">
    <w:multiLevelType w:val="hybridMultilevel"/>
    <w:lvl w:ilvl="0" w:tentative="1">
      <w:start w:val="1"/>
      <w:numFmt w:val="decimal"/>
      <w:lvlText w:val="%1."/>
      <w:lvlJc w:val="left"/>
      <w:pPr>
        <w:ind w:star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hAnsi="Arial"/>
      <w:b/>
      <w:bCs/>
      <w:color w:val="0B3D59"/>
      <w:sz w:val="30"/>
      <w:szCs w:val="30"/>
    </w:rPr>
  </w:style>
  <w:style w:type="paragraph" w:styleId="Heading2">
    <w:name w:val="Heading 2"/>
    <w:basedOn w:val="Normal"/>
    <w:next w:val="Normal"/>
    <w:qFormat/>
    <w:pPr>
      <w:outlineLvl w:val="1"/>
    </w:pPr>
    <w:rPr>
      <w:rFonts w:ascii="Arial" w:cs="Arial" w:hAnsi="Arial"/>
      <w:b/>
      <w:bCs/>
      <w:color w:val="0B3D5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Lighthouse - דוח הערכת איכות הזיהוי</dc:title>
  <dc:creator>Lighthouse</dc:creator>
  <cp:lastModifiedBy>Un-named</cp:lastModifiedBy>
  <cp:revision>1</cp:revision>
  <dcterms:created xsi:type="dcterms:W3CDTF">2026-10-16T15:12:14.641Z</dcterms:created>
  <dcterms:modified xsi:type="dcterms:W3CDTF">2026-10-16T15:12:14.643Z</dcterms:modified>
</cp:coreProperties>
</file>

<file path=docProps/custom.xml><?xml version="1.0" encoding="utf-8"?>
<Properties xmlns="http://schemas.openxmlformats.org/officeDocument/2006/custom-properties" xmlns:vt="http://schemas.openxmlformats.org/officeDocument/2006/docPropsVTypes"/>
</file>