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5C38"/>
          <w:sz w:val="44"/>
        </w:rPr>
        <w:t>Detección de Cambios en Áreas Verdes</w:t>
        <w:br/>
        <w:t>Arboladas de México</w:t>
      </w:r>
    </w:p>
    <w:p>
      <w:pPr>
        <w:spacing w:before="160"/>
        <w:jc w:val="center"/>
      </w:pPr>
      <w:r>
        <w:rPr>
          <w:color w:val="2D8A4E"/>
          <w:sz w:val="28"/>
        </w:rPr>
        <w:t>mediante Ciencias de Datos</w:t>
      </w:r>
    </w:p>
    <w:p/>
    <w:p>
      <w:pPr>
        <w:spacing w:after="40"/>
        <w:jc w:val="center"/>
      </w:pPr>
      <w:r>
        <w:rPr>
          <w:b/>
        </w:rPr>
        <w:t xml:space="preserve">Curso: </w:t>
      </w:r>
      <w:r>
        <w:t>Visualización de Datos y Narración de Historias</w:t>
      </w:r>
    </w:p>
    <w:p>
      <w:pPr>
        <w:spacing w:after="40"/>
        <w:jc w:val="center"/>
      </w:pPr>
      <w:r>
        <w:rPr>
          <w:b/>
        </w:rPr>
        <w:t xml:space="preserve">Especialidad: </w:t>
      </w:r>
      <w:r>
        <w:t>Ciencia de Datos</w:t>
      </w:r>
    </w:p>
    <w:p>
      <w:pPr>
        <w:spacing w:after="40"/>
        <w:jc w:val="center"/>
      </w:pPr>
      <w:r>
        <w:rPr>
          <w:b/>
        </w:rPr>
        <w:t xml:space="preserve">Institución: </w:t>
      </w:r>
      <w:r>
        <w:t>Universidad Panamericana</w:t>
      </w:r>
    </w:p>
    <w:p>
      <w:pPr>
        <w:spacing w:after="40"/>
        <w:jc w:val="center"/>
      </w:pPr>
      <w:r>
        <w:rPr>
          <w:b/>
        </w:rPr>
        <w:t xml:space="preserve">Fecha: </w:t>
      </w:r>
      <w:r>
        <w:t>Junio 2026</w:t>
      </w:r>
    </w:p>
    <w:p>
      <w:r>
        <w:br w:type="page"/>
      </w:r>
    </w:p>
    <w:p>
      <w:pPr>
        <w:pStyle w:val="Heading1"/>
      </w:pPr>
      <w:r>
        <w:t>Resumen Ejecutivo</w:t>
      </w:r>
    </w:p>
    <w:p>
      <w:r>
        <w:rPr>
          <w:b w:val="0"/>
          <w:i w:val="0"/>
        </w:rPr>
        <w:t>Este proyecto analiza la pérdida de cobertura forestal en México durante el período 2001–2023 integrando cuatro fuentes de datos: datos satelitales de Global Forest Watch (GFW), estadísticas agrícolas del SIAP/DGSIAP, producción pecuaria estatal y municipal, y datos oficiales de deforestación del gobierno federal. A través de un pipeline completo de ciencia de datos —que incluye limpieza, análisis exploratorio, reducción de dimensionalidad y pruebas estadísticas formales— se identificaron los principales patrones espaciales y temporales de la deforestación.</w:t>
      </w:r>
    </w:p>
    <w:p>
      <w:r>
        <w:rPr>
          <w:b w:val="0"/>
          <w:i w:val="0"/>
        </w:rPr>
        <w:t>Los resultados muestran que el gobierno reporta en promedio entre el 40 % y el 55 % de la deforestación detectada por satélites. La ganadería extensiva bovina, la expansión de cultivos de exportación (palma africana, aguacate) y la conversión de tierras forestales a pastizales son los principales motores de la crisis en el sureste mexicano. Los estados más afectados son Campeche (~906,000 ha perdidas), Chiapas (~783,000 ha) y Quintana Roo (~599,000 ha).</w:t>
      </w:r>
    </w:p>
    <w:p>
      <w:pPr>
        <w:pStyle w:val="Heading1"/>
      </w:pPr>
      <w:r>
        <w:t>1. Descripción del Problema</w:t>
      </w:r>
    </w:p>
    <w:p>
      <w:pPr>
        <w:pStyle w:val="Heading2"/>
      </w:pPr>
      <w:r>
        <w:t>1.1 Contexto global y nacional</w:t>
      </w:r>
    </w:p>
    <w:p>
      <w:r>
        <w:rPr>
          <w:b w:val="0"/>
          <w:i w:val="0"/>
        </w:rPr>
        <w:t>La deforestación tropical es una de las crisis ambientales más urgentes del siglo XXI. Los bosques cubren aproximadamente el 31 % de la superficie terrestre y albergan más del 80 % de la biodiversidad terrestre conocida. México ocupa el undécimo lugar mundial en biodiversidad y el decimotercero en superficie forestal, con aproximadamente 66 millones de hectáreas de bosques y selvas. No obstante, también figura entre los países con mayor tasa de deforestación de América Latina: las estimaciones satelitales de Global Forest Watch sitúan la pérdida acumulada entre 2001 y 2023 en 4,886,723 hectáreas.</w:t>
      </w:r>
    </w:p>
    <w:p>
      <w:pPr>
        <w:pStyle w:val="Heading2"/>
      </w:pPr>
      <w:r>
        <w:t>1.2 La complejidad del problema mexicano</w:t>
      </w:r>
    </w:p>
    <w:p>
      <w:r>
        <w:rPr>
          <w:b w:val="0"/>
          <w:i w:val="0"/>
        </w:rPr>
        <w:t>La deforestación en México responde a múltiples factores entrelazados:</w:t>
      </w:r>
    </w:p>
    <w:p>
      <w:pPr>
        <w:pStyle w:val="ListBullet"/>
        <w:ind w:left="283"/>
      </w:pPr>
      <w:r>
        <w:t>Heterogeneidad regional: desde zonas áridas en el norte hasta selvas tropicales húmedas en el sureste.</w:t>
      </w:r>
    </w:p>
    <w:p>
      <w:pPr>
        <w:pStyle w:val="ListBullet"/>
        <w:ind w:left="283"/>
      </w:pPr>
      <w:r>
        <w:t>Múltiples drivers: ganadería extensiva, cultivos de exportación (aguacate, palma africana), presión demográfica y cambio de uso de suelo.</w:t>
      </w:r>
    </w:p>
    <w:p>
      <w:pPr>
        <w:pStyle w:val="ListBullet"/>
        <w:ind w:left="283"/>
      </w:pPr>
      <w:r>
        <w:t>Brecha de información: los datos satelitales y los reportes gubernamentales difieren sistemáticamente, lo que dificulta la toma de decisiones basada en evidencia.</w:t>
      </w:r>
    </w:p>
    <w:p>
      <w:pPr>
        <w:pStyle w:val="Heading2"/>
      </w:pPr>
      <w:r>
        <w:t>1.3 Pregunta de investigación</w:t>
      </w:r>
    </w:p>
    <w:p>
      <w:pPr>
        <w:spacing w:before="120" w:after="120"/>
        <w:ind w:left="567" w:right="567"/>
      </w:pPr>
      <w:r>
        <w:rPr>
          <w:i/>
          <w:color w:val="1A5C38"/>
        </w:rPr>
        <w:t>¿Qué factores explican mejor la variación espacial y temporal en la pérdida de cobertura forestal en México entre 2001 y 2023, y en qué medida los datos oficiales reflejan la realidad detectada por satélites?</w:t>
      </w:r>
    </w:p>
    <w:p>
      <w:pPr>
        <w:pStyle w:val="Heading1"/>
      </w:pPr>
      <w:r>
        <w:t>2. Hipótesis Iniciales</w:t>
      </w:r>
    </w:p>
    <w:p>
      <w:r>
        <w:rPr>
          <w:b w:val="0"/>
          <w:i w:val="0"/>
        </w:rPr>
        <w:t>Se plantearon cuatro hipótesis al inicio del proyecto, derivadas de la literatura académica sobre deforestación en México y América Latina.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c38"/>
          </w:tcPr>
          <w:p>
            <w:r>
              <w:rPr>
                <w:b/>
                <w:color w:val="FFFFFF"/>
              </w:rPr>
              <w:t>#</w:t>
            </w:r>
          </w:p>
        </w:tc>
        <w:tc>
          <w:tcPr>
            <w:tcW w:type="dxa" w:w="3041"/>
            <w:shd w:val="clear" w:color="auto" w:fill="1a5c38"/>
          </w:tcPr>
          <w:p>
            <w:r>
              <w:rPr>
                <w:b/>
                <w:color w:val="FFFFFF"/>
              </w:rPr>
              <w:t>Hipótesis</w:t>
            </w:r>
          </w:p>
        </w:tc>
        <w:tc>
          <w:tcPr>
            <w:tcW w:type="dxa" w:w="3041"/>
            <w:shd w:val="clear" w:color="auto" w:fill="1a5c38"/>
          </w:tcPr>
          <w:p>
            <w:r>
              <w:rPr>
                <w:b/>
                <w:color w:val="FFFFFF"/>
              </w:rPr>
              <w:t>Justificación</w:t>
            </w:r>
          </w:p>
        </w:tc>
      </w:tr>
      <w:tr>
        <w:tc>
          <w:tcPr>
            <w:tcW w:type="dxa" w:w="3041"/>
          </w:tcPr>
          <w:p>
            <w:r>
              <w:t>H1</w:t>
            </w:r>
          </w:p>
        </w:tc>
        <w:tc>
          <w:tcPr>
            <w:tcW w:type="dxa" w:w="3041"/>
          </w:tcPr>
          <w:p>
            <w:r>
              <w:t>La expansión de cultivos de exportación (aguacate, palma africana, agave) está positivamente correlacionada con la pérdida forestal en los estados donde se concentran.</w:t>
            </w:r>
          </w:p>
        </w:tc>
        <w:tc>
          <w:tcPr>
            <w:tcW w:type="dxa" w:w="3041"/>
          </w:tcPr>
          <w:p>
            <w:r>
              <w:t>Commodity-driven deforestation: altos precios internacionales generan incentivos para convertir tierras forestales.</w:t>
            </w:r>
          </w:p>
        </w:tc>
      </w:tr>
      <w:tr>
        <w:tc>
          <w:tcPr>
            <w:tcW w:type="dxa" w:w="3041"/>
          </w:tcPr>
          <w:p>
            <w:r>
              <w:t>H2</w:t>
            </w:r>
          </w:p>
        </w:tc>
        <w:tc>
          <w:tcPr>
            <w:tcW w:type="dxa" w:w="3041"/>
          </w:tcPr>
          <w:p>
            <w:r>
              <w:t>Los estados del sureste (Campeche, Chiapas, Veracruz) concentran la mayor pérdida forestal acumulada del período.</w:t>
            </w:r>
          </w:p>
        </w:tc>
        <w:tc>
          <w:tcPr>
            <w:tcW w:type="dxa" w:w="3041"/>
          </w:tcPr>
          <w:p>
            <w:r>
              <w:t>El sureste alberga las mayores extensiones de selva tropical húmeda, ecosistemas con alta presión de conversión agrícola y ganadera.</w:t>
            </w:r>
          </w:p>
        </w:tc>
      </w:tr>
      <w:tr>
        <w:tc>
          <w:tcPr>
            <w:tcW w:type="dxa" w:w="3041"/>
          </w:tcPr>
          <w:p>
            <w:r>
              <w:t>H3</w:t>
            </w:r>
          </w:p>
        </w:tc>
        <w:tc>
          <w:tcPr>
            <w:tcW w:type="dxa" w:w="3041"/>
          </w:tcPr>
          <w:p>
            <w:r>
              <w:t>Existe una tendencia creciente estadísticamente significativa en la tasa anual de deforestación, con al menos un punto de quiebre identificable.</w:t>
            </w:r>
          </w:p>
        </w:tc>
        <w:tc>
          <w:tcPr>
            <w:tcW w:type="dxa" w:w="3041"/>
          </w:tcPr>
          <w:p>
            <w:r>
              <w:t>Los cambios de política pública federal en materia de conservación se reflejan en la serie temporal.</w:t>
            </w:r>
          </w:p>
        </w:tc>
      </w:tr>
      <w:tr>
        <w:tc>
          <w:tcPr>
            <w:tcW w:type="dxa" w:w="3041"/>
          </w:tcPr>
          <w:p>
            <w:r>
              <w:t>H4</w:t>
            </w:r>
          </w:p>
        </w:tc>
        <w:tc>
          <w:tcPr>
            <w:tcW w:type="dxa" w:w="3041"/>
          </w:tcPr>
          <w:p>
            <w:r>
              <w:t>Los estados con mayor producción de ganado bovino presentan mayor pérdida forestal, consistente con la conversión de bosque a pastizal.</w:t>
            </w:r>
          </w:p>
        </w:tc>
        <w:tc>
          <w:tcPr>
            <w:tcW w:type="dxa" w:w="3041"/>
          </w:tcPr>
          <w:p>
            <w:r>
              <w:t>La ganadería extensiva requiere amplias superficies de pastizal; los ranchos ganaderos son el principal driver documentado de deforestación tropical en México.</w:t>
            </w:r>
          </w:p>
        </w:tc>
      </w:tr>
    </w:tbl>
    <w:p/>
    <w:p>
      <w:pPr>
        <w:pStyle w:val="Heading1"/>
      </w:pPr>
      <w:r>
        <w:t>3. Bases de Datos</w:t>
      </w:r>
    </w:p>
    <w:p>
      <w:r>
        <w:rPr>
          <w:b w:val="0"/>
          <w:i w:val="0"/>
        </w:rPr>
        <w:t>Se integraron cuatro fuentes de datos independientes: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c38"/>
          </w:tcPr>
          <w:p>
            <w:r>
              <w:rPr>
                <w:b/>
                <w:color w:val="FFFFFF"/>
              </w:rPr>
              <w:t>Fuente</w:t>
            </w:r>
          </w:p>
        </w:tc>
        <w:tc>
          <w:tcPr>
            <w:tcW w:type="dxa" w:w="2280"/>
            <w:shd w:val="clear" w:color="auto" w:fill="1a5c38"/>
          </w:tcPr>
          <w:p>
            <w:r>
              <w:rPr>
                <w:b/>
                <w:color w:val="FFFFFF"/>
              </w:rPr>
              <w:t>Cobertura temporal</w:t>
            </w:r>
          </w:p>
        </w:tc>
        <w:tc>
          <w:tcPr>
            <w:tcW w:type="dxa" w:w="2280"/>
            <w:shd w:val="clear" w:color="auto" w:fill="1a5c38"/>
          </w:tcPr>
          <w:p>
            <w:r>
              <w:rPr>
                <w:b/>
                <w:color w:val="FFFFFF"/>
              </w:rPr>
              <w:t>Escala geográfica</w:t>
            </w:r>
          </w:p>
        </w:tc>
        <w:tc>
          <w:tcPr>
            <w:tcW w:type="dxa" w:w="2280"/>
            <w:shd w:val="clear" w:color="auto" w:fill="1a5c38"/>
          </w:tcPr>
          <w:p>
            <w:r>
              <w:rPr>
                <w:b/>
                <w:color w:val="FFFFFF"/>
              </w:rPr>
              <w:t>Variables clave</w:t>
            </w:r>
          </w:p>
        </w:tc>
      </w:tr>
      <w:tr>
        <w:tc>
          <w:tcPr>
            <w:tcW w:type="dxa" w:w="2280"/>
          </w:tcPr>
          <w:p>
            <w:r>
              <w:t>Global Forest Watch (GFW)</w:t>
            </w:r>
          </w:p>
        </w:tc>
        <w:tc>
          <w:tcPr>
            <w:tcW w:type="dxa" w:w="2280"/>
          </w:tcPr>
          <w:p>
            <w:r>
              <w:t>2001–2023</w:t>
            </w:r>
          </w:p>
        </w:tc>
        <w:tc>
          <w:tcPr>
            <w:tcW w:type="dxa" w:w="2280"/>
          </w:tcPr>
          <w:p>
            <w:r>
              <w:t>32 estados (municipios disponibles)</w:t>
            </w:r>
          </w:p>
        </w:tc>
        <w:tc>
          <w:tcPr>
            <w:tcW w:type="dxa" w:w="2280"/>
          </w:tcPr>
          <w:p>
            <w:r>
              <w:t>Pérdida de cobertura arbórea (ha/año, threshold 30 %)</w:t>
            </w:r>
          </w:p>
        </w:tc>
      </w:tr>
      <w:tr>
        <w:tc>
          <w:tcPr>
            <w:tcW w:type="dxa" w:w="2280"/>
          </w:tcPr>
          <w:p>
            <w:r>
              <w:t>SIAP/DGSIAP — Agrícola</w:t>
            </w:r>
          </w:p>
        </w:tc>
        <w:tc>
          <w:tcPr>
            <w:tcW w:type="dxa" w:w="2280"/>
          </w:tcPr>
          <w:p>
            <w:r>
              <w:t>2001–2023</w:t>
            </w:r>
          </w:p>
        </w:tc>
        <w:tc>
          <w:tcPr>
            <w:tcW w:type="dxa" w:w="2280"/>
          </w:tcPr>
          <w:p>
            <w:r>
              <w:t>32 estados, 322 cultivos</w:t>
            </w:r>
          </w:p>
        </w:tc>
        <w:tc>
          <w:tcPr>
            <w:tcW w:type="dxa" w:w="2280"/>
          </w:tcPr>
          <w:p>
            <w:r>
              <w:t>Superficie sembrada/cosechada, valor de producción</w:t>
            </w:r>
          </w:p>
        </w:tc>
      </w:tr>
      <w:tr>
        <w:tc>
          <w:tcPr>
            <w:tcW w:type="dxa" w:w="2280"/>
          </w:tcPr>
          <w:p>
            <w:r>
              <w:t>SIAP — Producción Pecuaria</w:t>
            </w:r>
          </w:p>
        </w:tc>
        <w:tc>
          <w:tcPr>
            <w:tcW w:type="dxa" w:w="2280"/>
          </w:tcPr>
          <w:p>
            <w:r>
              <w:t>2006–2022 + 2024 (falta 2023)</w:t>
            </w:r>
          </w:p>
        </w:tc>
        <w:tc>
          <w:tcPr>
            <w:tcW w:type="dxa" w:w="2280"/>
          </w:tcPr>
          <w:p>
            <w:r>
              <w:t>Estado → municipio</w:t>
            </w:r>
          </w:p>
        </w:tc>
        <w:tc>
          <w:tcPr>
            <w:tcW w:type="dxa" w:w="2280"/>
          </w:tcPr>
          <w:p>
            <w:r>
              <w:t>Cabezas bovinas, volumen cárnico (ton), valor (MXN)</w:t>
            </w:r>
          </w:p>
        </w:tc>
      </w:tr>
      <w:tr>
        <w:tc>
          <w:tcPr>
            <w:tcW w:type="dxa" w:w="2280"/>
          </w:tcPr>
          <w:p>
            <w:r>
              <w:t>Deforestación Oficial (CONAFOR)</w:t>
            </w:r>
          </w:p>
        </w:tc>
        <w:tc>
          <w:tcPr>
            <w:tcW w:type="dxa" w:w="2280"/>
          </w:tcPr>
          <w:p>
            <w:r>
              <w:t>2001–2023</w:t>
            </w:r>
          </w:p>
        </w:tc>
        <w:tc>
          <w:tcPr>
            <w:tcW w:type="dxa" w:w="2280"/>
          </w:tcPr>
          <w:p>
            <w:r>
              <w:t>10 estados únicamente</w:t>
            </w:r>
          </w:p>
        </w:tc>
        <w:tc>
          <w:tcPr>
            <w:tcW w:type="dxa" w:w="2280"/>
          </w:tcPr>
          <w:p>
            <w:r>
              <w:t>Ha deforestadas por categoría de uso de suelo destino</w:t>
            </w:r>
          </w:p>
        </w:tc>
      </w:tr>
    </w:tbl>
    <w:p/>
    <w:p>
      <w:pPr>
        <w:pStyle w:val="Heading2"/>
      </w:pPr>
      <w:r>
        <w:t>3.1 Nota sobre los datos gubernamentales</w:t>
      </w:r>
    </w:p>
    <w:p>
      <w:r>
        <w:rPr>
          <w:b w:val="0"/>
          <w:i w:val="0"/>
        </w:rPr>
        <w:t>La fuente oficial del gobierno (CONAFOR) presenta dos limitaciones importantes: (1) solo cubre 10 de los 32 estados, y (2) en varios estados los valores se repiten durante períodos de tres años consecutivos, lo que sugiere interpolación o estimación en lugar de medición anual. Adicionalmente, los datos de producción pecuaria del SIAP no contienen registros del año 2023, el cual corresponde al cierre del sexenio y a un período de deforestación elevada. Esta ausencia fue tratada como un hallazgo narrativo relevante del proyecto.</w:t>
      </w:r>
    </w:p>
    <w:p>
      <w:pPr>
        <w:pStyle w:val="Heading1"/>
      </w:pPr>
      <w:r>
        <w:t>4. Pipeline de Datos: Filtrado y Preprocesamiento</w:t>
      </w:r>
    </w:p>
    <w:p>
      <w:pPr>
        <w:pStyle w:val="Heading2"/>
      </w:pPr>
      <w:r>
        <w:t>4.1 Decisiones de filtrado</w:t>
      </w:r>
    </w:p>
    <w:tbl>
      <w:tblPr>
        <w:tblStyle w:val="TableGrid"/>
        <w:tblW w:type="auto" w:w="0"/>
        <w:tblLook w:firstColumn="1" w:firstRow="1" w:lastColumn="0" w:lastRow="0" w:noHBand="0" w:noVBand="1" w:val="04A0"/>
      </w:tblPr>
      <w:tblGrid>
        <w:gridCol w:w="4561"/>
        <w:gridCol w:w="4561"/>
      </w:tblGrid>
      <w:tr>
        <w:tc>
          <w:tcPr>
            <w:tcW w:type="dxa" w:w="4561"/>
            <w:shd w:val="clear" w:color="auto" w:fill="1a5c38"/>
          </w:tcPr>
          <w:p>
            <w:r>
              <w:rPr>
                <w:b/>
                <w:color w:val="FFFFFF"/>
              </w:rPr>
              <w:t>Decisión</w:t>
            </w:r>
          </w:p>
        </w:tc>
        <w:tc>
          <w:tcPr>
            <w:tcW w:type="dxa" w:w="4561"/>
            <w:shd w:val="clear" w:color="auto" w:fill="1a5c38"/>
          </w:tcPr>
          <w:p>
            <w:r>
              <w:rPr>
                <w:b/>
                <w:color w:val="FFFFFF"/>
              </w:rPr>
              <w:t>Justificación</w:t>
            </w:r>
          </w:p>
        </w:tc>
      </w:tr>
      <w:tr>
        <w:tc>
          <w:tcPr>
            <w:tcW w:type="dxa" w:w="4561"/>
          </w:tcPr>
          <w:p>
            <w:r>
              <w:t>Umbral de dosel: 30 % (GFW)</w:t>
            </w:r>
          </w:p>
        </w:tc>
        <w:tc>
          <w:tcPr>
            <w:tcW w:type="dxa" w:w="4561"/>
          </w:tcPr>
          <w:p>
            <w:r>
              <w:t>Estándar IPCC/FAO para bosques tropicales y subtropicales. Excluye matorrales y arbustos; incluye selvas con dosel fragmentado naturalmente.</w:t>
            </w:r>
          </w:p>
        </w:tc>
      </w:tr>
      <w:tr>
        <w:tc>
          <w:tcPr>
            <w:tcW w:type="dxa" w:w="4561"/>
          </w:tcPr>
          <w:p>
            <w:r>
              <w:t>Especie ganadera: Bovino/Carne</w:t>
            </w:r>
          </w:p>
        </w:tc>
        <w:tc>
          <w:tcPr>
            <w:tcW w:type="dxa" w:w="4561"/>
          </w:tcPr>
          <w:p>
            <w:r>
              <w:t>La ganadería bovina es extensiva por naturaleza y el principal driver documentado de deforestación tropical. Las otras especies (aves, porcino) son intensivas y no requieren deforestación.</w:t>
            </w:r>
          </w:p>
        </w:tc>
      </w:tr>
      <w:tr>
        <w:tc>
          <w:tcPr>
            <w:tcW w:type="dxa" w:w="4561"/>
          </w:tcPr>
          <w:p>
            <w:r>
              <w:t>Ventana temporal: 2006–2022</w:t>
            </w:r>
          </w:p>
        </w:tc>
        <w:tc>
          <w:tcPr>
            <w:tcW w:type="dxa" w:w="4561"/>
          </w:tcPr>
          <w:p>
            <w:r>
              <w:t>Único período donde los tres datasets principales coinciden con datos completos.</w:t>
            </w:r>
          </w:p>
        </w:tc>
      </w:tr>
      <w:tr>
        <w:tc>
          <w:tcPr>
            <w:tcW w:type="dxa" w:w="4561"/>
          </w:tcPr>
          <w:p>
            <w:r>
              <w:t>Escala: estatal (no municipal)</w:t>
            </w:r>
          </w:p>
        </w:tc>
        <w:tc>
          <w:tcPr>
            <w:tcW w:type="dxa" w:w="4561"/>
          </w:tcPr>
          <w:p>
            <w:r>
              <w:t>Los datos municipales tienen 12 % de combinaciones potencialmente re-identificables; la escala estatal garantiza robustez estadística y privacidad.</w:t>
            </w:r>
          </w:p>
        </w:tc>
      </w:tr>
    </w:tbl>
    <w:p/>
    <w:p>
      <w:pPr>
        <w:pStyle w:val="Heading2"/>
      </w:pPr>
      <w:r>
        <w:t>4.2 Preprocesamiento</w:t>
      </w:r>
    </w:p>
    <w:p>
      <w:pPr>
        <w:pStyle w:val="ListBullet"/>
        <w:ind w:left="283"/>
      </w:pPr>
      <w:r>
        <w:t>Normalización de nombres de estados: función unificadora que resuelve inconsistencias entre las cuatro fuentes (e.g., "Baja California Norte" → "Baja California", "Ciudad de México" vs. "Distrito Federal").</w:t>
      </w:r>
    </w:p>
    <w:p>
      <w:pPr>
        <w:pStyle w:val="ListBullet"/>
        <w:ind w:left="283"/>
      </w:pPr>
      <w:r>
        <w:t>Eliminación de ruido — Media móvil de 3 años: separa la tendencia estructural del ruido climático interanual (sequías, huracanes) sin eliminar puntos de quiebre reales.</w:t>
      </w:r>
    </w:p>
    <w:p>
      <w:pPr>
        <w:pStyle w:val="ListBullet"/>
        <w:ind w:left="283"/>
      </w:pPr>
      <w:r>
        <w:t>Detección de outliers — Z-score temporal e IQR espacial: identifica años y estados estadísticamente anómalos para análisis posterior.</w:t>
      </w:r>
    </w:p>
    <w:p>
      <w:pPr>
        <w:pStyle w:val="ListBullet"/>
        <w:ind w:left="283"/>
      </w:pPr>
      <w:r>
        <w:t>Discretización por cuartiles: clasifica los 32 estados en cuatro niveles de riesgo forestal (Bajo, Moderado, Alto, Crítico) para análisis comparativos.</w:t>
      </w:r>
    </w:p>
    <w:p>
      <w:pPr>
        <w:pStyle w:val="ListBullet"/>
        <w:ind w:left="283"/>
      </w:pPr>
      <w:r>
        <w:t>K-anonimización (k = 5) sobre datos municipales: agrupa municipios con menos de 5 registros por especie en categorías "Datos agrupados" dentro del mismo estado. Reduce el riesgo de re-identificación del 12 % al 0 % con pérdida de información del ~8 %.</w:t>
      </w:r>
    </w:p>
    <w:p>
      <w:pPr>
        <w:pStyle w:val="ListBullet"/>
        <w:ind w:left="283"/>
      </w:pPr>
      <w:r>
        <w:t>Panel integrado: cruce de las cuatro fuentes a nivel estatal-anual mediante left joins normalizados; resultado: 32 estados × 17 años × variables de pérdida forestal, agricultura y ganadería.</w:t>
      </w:r>
    </w:p>
    <w:p>
      <w:pPr>
        <w:pStyle w:val="Heading1"/>
      </w:pPr>
      <w:r>
        <w:t>5. Análisis Exploratorio de Datos (EDA)</w:t>
      </w:r>
    </w:p>
    <w:p>
      <w:pPr>
        <w:pStyle w:val="Heading2"/>
      </w:pPr>
      <w:r>
        <w:t>5.1 Evolución de la pérdida forestal nacional (2001–2023)</w:t>
      </w:r>
    </w:p>
    <w:p>
      <w:r>
        <w:rPr>
          <w:b w:val="0"/>
          <w:i w:val="0"/>
        </w:rPr>
        <w:t>La serie temporal nacional muestra una tendencia general creciente con alta variabilidad interanual. Se distinguen tres fases:</w:t>
      </w:r>
    </w:p>
    <w:p>
      <w:pPr>
        <w:pStyle w:val="ListBullet"/>
        <w:ind w:left="283"/>
      </w:pPr>
      <w:r>
        <w:t>2001–2010: pérdidas moderadas (~150,000–200,000 ha/año), morigeradas por PRONAFOR y la expansión de Áreas Naturales Protegidas.</w:t>
      </w:r>
    </w:p>
    <w:p>
      <w:pPr>
        <w:pStyle w:val="ListBullet"/>
        <w:ind w:left="283"/>
      </w:pPr>
      <w:r>
        <w:t>2011–2018: aceleración con mayor variabilidad; años de sequía extrema (2011, 2015) elevan temporalmente las pérdidas por incendios.</w:t>
      </w:r>
    </w:p>
    <w:p>
      <w:pPr>
        <w:pStyle w:val="ListBullet"/>
        <w:ind w:left="283"/>
      </w:pPr>
      <w:r>
        <w:t>2019–2023: pico histórico en 2019 (327,438 ha) seguido de niveles persistentemente elevados. El año 2019 es un outlier estadístico severo (Z = +2.5), 54 % sobre la media.</w:t>
      </w:r>
    </w:p>
    <w:p>
      <w:pPr>
        <w:pStyle w:val="Heading2"/>
      </w:pPr>
      <w:r>
        <w:t>5.2 Distribución espacial de la pérdida forestal</w:t>
      </w:r>
    </w:p>
    <w:p>
      <w:r>
        <w:rPr>
          <w:b w:val="0"/>
          <w:i w:val="0"/>
        </w:rPr>
        <w:t>La pérdida forestal está extremadamente concentrada en el sureste del país: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c38"/>
          </w:tcPr>
          <w:p>
            <w:r>
              <w:rPr>
                <w:b/>
                <w:color w:val="FFFFFF"/>
              </w:rPr>
              <w:t>Posición</w:t>
            </w:r>
          </w:p>
        </w:tc>
        <w:tc>
          <w:tcPr>
            <w:tcW w:type="dxa" w:w="2280"/>
            <w:shd w:val="clear" w:color="auto" w:fill="1a5c38"/>
          </w:tcPr>
          <w:p>
            <w:r>
              <w:rPr>
                <w:b/>
                <w:color w:val="FFFFFF"/>
              </w:rPr>
              <w:t>Estado</w:t>
            </w:r>
          </w:p>
        </w:tc>
        <w:tc>
          <w:tcPr>
            <w:tcW w:type="dxa" w:w="2280"/>
            <w:shd w:val="clear" w:color="auto" w:fill="1a5c38"/>
          </w:tcPr>
          <w:p>
            <w:r>
              <w:rPr>
                <w:b/>
                <w:color w:val="FFFFFF"/>
              </w:rPr>
              <w:t>Pérdida acumulada (ha)</w:t>
            </w:r>
          </w:p>
        </w:tc>
        <w:tc>
          <w:tcPr>
            <w:tcW w:type="dxa" w:w="2280"/>
            <w:shd w:val="clear" w:color="auto" w:fill="1a5c38"/>
          </w:tcPr>
          <w:p>
            <w:r>
              <w:rPr>
                <w:b/>
                <w:color w:val="FFFFFF"/>
              </w:rPr>
              <w:t>% del total nacional</w:t>
            </w:r>
          </w:p>
        </w:tc>
      </w:tr>
      <w:tr>
        <w:tc>
          <w:tcPr>
            <w:tcW w:type="dxa" w:w="2280"/>
          </w:tcPr>
          <w:p>
            <w:r>
              <w:t>1</w:t>
            </w:r>
          </w:p>
        </w:tc>
        <w:tc>
          <w:tcPr>
            <w:tcW w:type="dxa" w:w="2280"/>
          </w:tcPr>
          <w:p>
            <w:r>
              <w:t>Campeche</w:t>
            </w:r>
          </w:p>
        </w:tc>
        <w:tc>
          <w:tcPr>
            <w:tcW w:type="dxa" w:w="2280"/>
          </w:tcPr>
          <w:p>
            <w:r>
              <w:t>~906,000</w:t>
            </w:r>
          </w:p>
        </w:tc>
        <w:tc>
          <w:tcPr>
            <w:tcW w:type="dxa" w:w="2280"/>
          </w:tcPr>
          <w:p>
            <w:r>
              <w:t>~18.5 %</w:t>
            </w:r>
          </w:p>
        </w:tc>
      </w:tr>
      <w:tr>
        <w:tc>
          <w:tcPr>
            <w:tcW w:type="dxa" w:w="2280"/>
          </w:tcPr>
          <w:p>
            <w:r>
              <w:t>2</w:t>
            </w:r>
          </w:p>
        </w:tc>
        <w:tc>
          <w:tcPr>
            <w:tcW w:type="dxa" w:w="2280"/>
          </w:tcPr>
          <w:p>
            <w:r>
              <w:t>Chiapas</w:t>
            </w:r>
          </w:p>
        </w:tc>
        <w:tc>
          <w:tcPr>
            <w:tcW w:type="dxa" w:w="2280"/>
          </w:tcPr>
          <w:p>
            <w:r>
              <w:t>~783,000</w:t>
            </w:r>
          </w:p>
        </w:tc>
        <w:tc>
          <w:tcPr>
            <w:tcW w:type="dxa" w:w="2280"/>
          </w:tcPr>
          <w:p>
            <w:r>
              <w:t>~16.0 %</w:t>
            </w:r>
          </w:p>
        </w:tc>
      </w:tr>
      <w:tr>
        <w:tc>
          <w:tcPr>
            <w:tcW w:type="dxa" w:w="2280"/>
          </w:tcPr>
          <w:p>
            <w:r>
              <w:t>3</w:t>
            </w:r>
          </w:p>
        </w:tc>
        <w:tc>
          <w:tcPr>
            <w:tcW w:type="dxa" w:w="2280"/>
          </w:tcPr>
          <w:p>
            <w:r>
              <w:t>Quintana Roo</w:t>
            </w:r>
          </w:p>
        </w:tc>
        <w:tc>
          <w:tcPr>
            <w:tcW w:type="dxa" w:w="2280"/>
          </w:tcPr>
          <w:p>
            <w:r>
              <w:t>~599,000</w:t>
            </w:r>
          </w:p>
        </w:tc>
        <w:tc>
          <w:tcPr>
            <w:tcW w:type="dxa" w:w="2280"/>
          </w:tcPr>
          <w:p>
            <w:r>
              <w:t>~12.3 %</w:t>
            </w:r>
          </w:p>
        </w:tc>
      </w:tr>
      <w:tr>
        <w:tc>
          <w:tcPr>
            <w:tcW w:type="dxa" w:w="2280"/>
          </w:tcPr>
          <w:p>
            <w:r>
              <w:t>4</w:t>
            </w:r>
          </w:p>
        </w:tc>
        <w:tc>
          <w:tcPr>
            <w:tcW w:type="dxa" w:w="2280"/>
          </w:tcPr>
          <w:p>
            <w:r>
              <w:t>Veracruz</w:t>
            </w:r>
          </w:p>
        </w:tc>
        <w:tc>
          <w:tcPr>
            <w:tcW w:type="dxa" w:w="2280"/>
          </w:tcPr>
          <w:p>
            <w:r>
              <w:t>~410,000</w:t>
            </w:r>
          </w:p>
        </w:tc>
        <w:tc>
          <w:tcPr>
            <w:tcW w:type="dxa" w:w="2280"/>
          </w:tcPr>
          <w:p>
            <w:r>
              <w:t>~8.4 %</w:t>
            </w:r>
          </w:p>
        </w:tc>
      </w:tr>
      <w:tr>
        <w:tc>
          <w:tcPr>
            <w:tcW w:type="dxa" w:w="2280"/>
          </w:tcPr>
          <w:p>
            <w:r>
              <w:t>5</w:t>
            </w:r>
          </w:p>
        </w:tc>
        <w:tc>
          <w:tcPr>
            <w:tcW w:type="dxa" w:w="2280"/>
          </w:tcPr>
          <w:p>
            <w:r>
              <w:t>Oaxaca</w:t>
            </w:r>
          </w:p>
        </w:tc>
        <w:tc>
          <w:tcPr>
            <w:tcW w:type="dxa" w:w="2280"/>
          </w:tcPr>
          <w:p>
            <w:r>
              <w:t>~350,000</w:t>
            </w:r>
          </w:p>
        </w:tc>
        <w:tc>
          <w:tcPr>
            <w:tcW w:type="dxa" w:w="2280"/>
          </w:tcPr>
          <w:p>
            <w:r>
              <w:t>~7.2 %</w:t>
            </w:r>
          </w:p>
        </w:tc>
      </w:tr>
    </w:tbl>
    <w:p/>
    <w:p>
      <w:r>
        <w:rPr>
          <w:b w:val="0"/>
          <w:i w:val="0"/>
        </w:rPr>
        <w:t>Los cinco estados más afectados concentran más del 62 % de la pérdida nacional acumulada.</w:t>
      </w:r>
    </w:p>
    <w:p>
      <w:pPr>
        <w:pStyle w:val="Heading2"/>
      </w:pPr>
      <w:r>
        <w:t>5.3 Reconversión agrícola</w:t>
      </w:r>
    </w:p>
    <w:p>
      <w:r>
        <w:rPr>
          <w:b w:val="0"/>
          <w:i w:val="0"/>
        </w:rPr>
        <w:t>La superficie agrícola total nacional muestra una contracción neta de −1.59 millones de hectáreas (−7.4 %) entre 2001 y 2023. Esta tendencia enmascara una reconversión interna profunda:</w:t>
      </w:r>
    </w:p>
    <w:p>
      <w:pPr>
        <w:pStyle w:val="ListBullet"/>
        <w:ind w:left="283"/>
      </w:pPr>
      <w:r>
        <w:t>Cultivos en expansión explosiva (deforestadores potenciales): palma africana +495 %, aguacate +180 %, nuez +222 %, pastos y praderas +49 %.</w:t>
      </w:r>
    </w:p>
    <w:p>
      <w:pPr>
        <w:pStyle w:val="ListBullet"/>
        <w:ind w:left="283"/>
      </w:pPr>
      <w:r>
        <w:t>Cultivos en contracción (tradicionales): frijol −44 %, sorgo −39 %, cártamo −62 %.</w:t>
      </w:r>
    </w:p>
    <w:p>
      <w:r>
        <w:rPr>
          <w:b w:val="0"/>
          <w:i w:val="0"/>
        </w:rPr>
        <w:t>Esta reconversión es el mecanismo económico que conecta las tendencias agrícolas con la presión forestal: los cultivos de exportación desplazan a los tradicionales, que a su vez se desplazan hacia la frontera forestal.</w:t>
      </w:r>
    </w:p>
    <w:p>
      <w:pPr>
        <w:pStyle w:val="Heading1"/>
      </w:pPr>
      <w:r>
        <w:t>6. Reducción de Dimensionalidad</w:t>
      </w:r>
    </w:p>
    <w:p>
      <w:r>
        <w:rPr>
          <w:b w:val="0"/>
          <w:i w:val="0"/>
        </w:rPr>
        <w:t>Se aplicaron cinco técnicas de reducción de dimensionalidad al dataset de cultivos agrícolas (218 observaciones × 12 dimensiones) y al panel integrado estatal (32 observaciones × 34 variables). El objetivo fue identificar estructuras latentes no visibles en análisis univariados.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c38"/>
          </w:tcPr>
          <w:p>
            <w:r>
              <w:rPr>
                <w:b/>
                <w:color w:val="FFFFFF"/>
              </w:rPr>
              <w:t>Método</w:t>
            </w:r>
          </w:p>
        </w:tc>
        <w:tc>
          <w:tcPr>
            <w:tcW w:type="dxa" w:w="3041"/>
            <w:shd w:val="clear" w:color="auto" w:fill="1a5c38"/>
          </w:tcPr>
          <w:p>
            <w:r>
              <w:rPr>
                <w:b/>
                <w:color w:val="FFFFFF"/>
              </w:rPr>
              <w:t>Tipo</w:t>
            </w:r>
          </w:p>
        </w:tc>
        <w:tc>
          <w:tcPr>
            <w:tcW w:type="dxa" w:w="3041"/>
            <w:shd w:val="clear" w:color="auto" w:fill="1a5c38"/>
          </w:tcPr>
          <w:p>
            <w:r>
              <w:rPr>
                <w:b/>
                <w:color w:val="FFFFFF"/>
              </w:rPr>
              <w:t>Hallazgo principal</w:t>
            </w:r>
          </w:p>
        </w:tc>
      </w:tr>
      <w:tr>
        <w:tc>
          <w:tcPr>
            <w:tcW w:type="dxa" w:w="3041"/>
          </w:tcPr>
          <w:p>
            <w:r>
              <w:t>PCA</w:t>
            </w:r>
          </w:p>
        </w:tc>
        <w:tc>
          <w:tcPr>
            <w:tcW w:type="dxa" w:w="3041"/>
          </w:tcPr>
          <w:p>
            <w:r>
              <w:t>Lineal, no supervisado</w:t>
            </w:r>
          </w:p>
        </w:tc>
        <w:tc>
          <w:tcPr>
            <w:tcW w:type="dxa" w:w="3041"/>
          </w:tcPr>
          <w:p>
            <w:r>
              <w:t>PC1 = escala de producción, PC2 = tendencia de cambio. ~65 % de varianza en 2D. Cultivos de exportación y ganaderos se separan del resto.</w:t>
            </w:r>
          </w:p>
        </w:tc>
      </w:tr>
      <w:tr>
        <w:tc>
          <w:tcPr>
            <w:tcW w:type="dxa" w:w="3041"/>
          </w:tcPr>
          <w:p>
            <w:r>
              <w:t>LDA</w:t>
            </w:r>
          </w:p>
        </w:tc>
        <w:tc>
          <w:tcPr>
            <w:tcW w:type="dxa" w:w="3041"/>
          </w:tcPr>
          <w:p>
            <w:r>
              <w:t>Lineal, supervisado</w:t>
            </w:r>
          </w:p>
        </w:tc>
        <w:tc>
          <w:tcPr>
            <w:tcW w:type="dxa" w:w="3041"/>
          </w:tcPr>
          <w:p>
            <w:r>
              <w:t>Mejor separación que PCA usando categorías de cultivo. Cultivos de exportación y forrajeros son los grupos más discriminables.</w:t>
            </w:r>
          </w:p>
        </w:tc>
      </w:tr>
      <w:tr>
        <w:tc>
          <w:tcPr>
            <w:tcW w:type="dxa" w:w="3041"/>
          </w:tcPr>
          <w:p>
            <w:r>
              <w:t>t-SNE</w:t>
            </w:r>
          </w:p>
        </w:tc>
        <w:tc>
          <w:tcPr>
            <w:tcW w:type="dxa" w:w="3041"/>
          </w:tcPr>
          <w:p>
            <w:r>
              <w:t>No lineal, no supervisado</w:t>
            </w:r>
          </w:p>
        </w:tc>
        <w:tc>
          <w:tcPr>
            <w:tcW w:type="dxa" w:w="3041"/>
          </w:tcPr>
          <w:p>
            <w:r>
              <w:t>Con perplexity=20, los cultivos de exportación forman un cluster compacto e independiente. Estructura no lineal confirmada.</w:t>
            </w:r>
          </w:p>
        </w:tc>
      </w:tr>
      <w:tr>
        <w:tc>
          <w:tcPr>
            <w:tcW w:type="dxa" w:w="3041"/>
          </w:tcPr>
          <w:p>
            <w:r>
              <w:t>UMAP</w:t>
            </w:r>
          </w:p>
        </w:tc>
        <w:tc>
          <w:tcPr>
            <w:tcW w:type="dxa" w:w="3041"/>
          </w:tcPr>
          <w:p>
            <w:r>
              <w:t>No lineal, no supervisado</w:t>
            </w:r>
          </w:p>
        </w:tc>
        <w:tc>
          <w:tcPr>
            <w:tcW w:type="dxa" w:w="3041"/>
          </w:tcPr>
          <w:p>
            <w:r>
              <w:t>Preserva estructura local y global. Cultivos ganaderos claramente aislados. Método más informativo para este dataset.</w:t>
            </w:r>
          </w:p>
        </w:tc>
      </w:tr>
      <w:tr>
        <w:tc>
          <w:tcPr>
            <w:tcW w:type="dxa" w:w="3041"/>
          </w:tcPr>
          <w:p>
            <w:r>
              <w:t>Isomap</w:t>
            </w:r>
          </w:p>
        </w:tc>
        <w:tc>
          <w:tcPr>
            <w:tcW w:type="dxa" w:w="3041"/>
          </w:tcPr>
          <w:p>
            <w:r>
              <w:t>No lineal, no supervisado</w:t>
            </w:r>
          </w:p>
        </w:tc>
        <w:tc>
          <w:tcPr>
            <w:tcW w:type="dxa" w:w="3041"/>
          </w:tcPr>
          <w:p>
            <w:r>
              <w:t>Continuo geodésico desde cultivos en colapso hasta cultivos en expansión. Geometría curva no capturada por PCA.</w:t>
            </w:r>
          </w:p>
        </w:tc>
      </w:tr>
    </w:tbl>
    <w:p/>
    <w:p>
      <w:r>
        <w:rPr>
          <w:b w:val="0"/>
          <w:i w:val="0"/>
        </w:rPr>
        <w:t>Hallazgo transversal: en los cinco métodos, los cultivos de exportación y los cultivos ganaderos se separan consistentemente del resto. Cuando se añaden variables ganaderas al panel estatal, los grupos de riesgo forestal (Bajo/Moderado/Alto/Crítico) se separan más claramente en el espacio reducido.</w:t>
      </w:r>
    </w:p>
    <w:p>
      <w:pPr>
        <w:pStyle w:val="Heading1"/>
      </w:pPr>
      <w:r>
        <w:t>7. Análisis Estadístico — Fase 2</w:t>
      </w:r>
    </w:p>
    <w:p>
      <w:pPr>
        <w:pStyle w:val="Heading2"/>
      </w:pPr>
      <w:r>
        <w:t>7.1 Distribución paramétrica de la pérdida forestal anual</w:t>
      </w:r>
    </w:p>
    <w:p>
      <w:r>
        <w:rPr>
          <w:b w:val="0"/>
          <w:i w:val="0"/>
        </w:rPr>
        <w:t>Se ajustaron cuatro distribuciones (Normal, Lognormal, Gamma, Exponencial) mediante pruebas KS y Shapiro-Wilk. La distribución Lognormal es la única no rechazada (p &gt; 0.05), consistente con procesos multiplicativos de crecimiento. La asimetría positiva se debe principalmente al outlier de 2019.</w:t>
      </w:r>
    </w:p>
    <w:p>
      <w:pPr>
        <w:pStyle w:val="Heading2"/>
      </w:pPr>
      <w:r>
        <w:t>7.2 Intervalos de confianza — Tasa anual de pérdida forestal</w:t>
      </w:r>
    </w:p>
    <w:p>
      <w:r>
        <w:rPr>
          <w:b w:val="0"/>
          <w:i w:val="0"/>
        </w:rPr>
        <w:t>Técnicas: IC clásico (t-distribution, n = 23) y Bootstrap (10,000 muestras).</w:t>
      </w:r>
    </w:p>
    <w:tbl>
      <w:tblPr>
        <w:tblStyle w:val="TableGrid"/>
        <w:tblW w:type="auto" w:w="0"/>
        <w:tblLook w:firstColumn="1" w:firstRow="1" w:lastColumn="0" w:lastRow="0" w:noHBand="0" w:noVBand="1" w:val="04A0"/>
      </w:tblPr>
      <w:tblGrid>
        <w:gridCol w:w="4561"/>
        <w:gridCol w:w="4561"/>
      </w:tblGrid>
      <w:tr>
        <w:tc>
          <w:tcPr>
            <w:tcW w:type="dxa" w:w="4561"/>
            <w:shd w:val="clear" w:color="auto" w:fill="1a5c38"/>
          </w:tcPr>
          <w:p>
            <w:r>
              <w:rPr>
                <w:b/>
                <w:color w:val="FFFFFF"/>
              </w:rPr>
              <w:t>Estimador</w:t>
            </w:r>
          </w:p>
        </w:tc>
        <w:tc>
          <w:tcPr>
            <w:tcW w:type="dxa" w:w="4561"/>
            <w:shd w:val="clear" w:color="auto" w:fill="1a5c38"/>
          </w:tcPr>
          <w:p>
            <w:r>
              <w:rPr>
                <w:b/>
                <w:color w:val="FFFFFF"/>
              </w:rPr>
              <w:t>Valor</w:t>
            </w:r>
          </w:p>
        </w:tc>
      </w:tr>
      <w:tr>
        <w:tc>
          <w:tcPr>
            <w:tcW w:type="dxa" w:w="4561"/>
          </w:tcPr>
          <w:p>
            <w:r>
              <w:t>Media puntual</w:t>
            </w:r>
          </w:p>
        </w:tc>
        <w:tc>
          <w:tcPr>
            <w:tcW w:type="dxa" w:w="4561"/>
          </w:tcPr>
          <w:p>
            <w:r>
              <w:t>212,466 ha/año</w:t>
            </w:r>
          </w:p>
        </w:tc>
      </w:tr>
      <w:tr>
        <w:tc>
          <w:tcPr>
            <w:tcW w:type="dxa" w:w="4561"/>
          </w:tcPr>
          <w:p>
            <w:r>
              <w:t>IC 95 % clásico</w:t>
            </w:r>
          </w:p>
        </w:tc>
        <w:tc>
          <w:tcPr>
            <w:tcW w:type="dxa" w:w="4561"/>
          </w:tcPr>
          <w:p>
            <w:r>
              <w:t>[175,000 — 250,000] ha/año</w:t>
            </w:r>
          </w:p>
        </w:tc>
      </w:tr>
      <w:tr>
        <w:tc>
          <w:tcPr>
            <w:tcW w:type="dxa" w:w="4561"/>
          </w:tcPr>
          <w:p>
            <w:r>
              <w:t>IC 95 % bootstrap</w:t>
            </w:r>
          </w:p>
        </w:tc>
        <w:tc>
          <w:tcPr>
            <w:tcW w:type="dxa" w:w="4561"/>
          </w:tcPr>
          <w:p>
            <w:r>
              <w:t>[180,000 — 245,000] ha/año</w:t>
            </w:r>
          </w:p>
        </w:tc>
      </w:tr>
    </w:tbl>
    <w:p/>
    <w:p>
      <w:pPr>
        <w:spacing w:before="120" w:after="120"/>
        <w:ind w:left="567" w:right="567"/>
      </w:pPr>
      <w:r>
        <w:rPr>
          <w:i/>
          <w:color w:val="1A5C38"/>
        </w:rPr>
        <w:t>Interpretación: México pierde con 95 % de certeza entre 175,000 y 250,000 hectáreas de bosque cada año —equivalente a perder entre 4.8 y 6.8 veces el Bosque de Chapultepec diariamente.</w:t>
      </w:r>
    </w:p>
    <w:p>
      <w:pPr>
        <w:pStyle w:val="Heading2"/>
      </w:pPr>
      <w:r>
        <w:t>7.3 Tests de hipótesis formales</w:t>
      </w:r>
    </w:p>
    <w:p>
      <w:r>
        <w:rPr>
          <w:b w:val="0"/>
          <w:i w:val="0"/>
        </w:rPr>
        <w:t>Se realizaron tres pruebas estadísticas formales:</w:t>
      </w:r>
    </w:p>
    <w:p>
      <w:pPr>
        <w:pStyle w:val="ListBullet"/>
        <w:ind w:left="283"/>
      </w:pPr>
      <w:r>
        <w:t>Test 1 — Correlación ganadería-deforestación: La correlación Pearson entre cabezas bovinas y pérdida forestal es estadísticamente significativa a nivel estatal, pero heterogénea: fuerte en el sureste tropical, débil en el norte. Se confirmó con Spearman (no paramétrico).</w:t>
      </w:r>
    </w:p>
    <w:p>
      <w:pPr>
        <w:pStyle w:val="ListBullet"/>
        <w:ind w:left="283"/>
      </w:pPr>
      <w:r>
        <w:t>Test 2 — Cambio de tasa entre sexenios: El t-test y Mann-Whitney U detectan una diferencia significativa entre la media pre-2018 y post-2018, con el período 2019–2022 mostrando niveles sistemáticamente más altos.</w:t>
      </w:r>
    </w:p>
    <w:p>
      <w:pPr>
        <w:pStyle w:val="ListBullet"/>
        <w:ind w:left="283"/>
      </w:pPr>
      <w:r>
        <w:t>Test 3 — Subreporte gubernamental: La relación (ha_gobierno / ha_gfw) tiene una media entre 0.40 y 0.55, estadísticamente diferente de 1.0, lo que confirma subreporte sistemático en los datos oficiales.</w:t>
      </w:r>
    </w:p>
    <w:p>
      <w:pPr>
        <w:pStyle w:val="Heading2"/>
      </w:pPr>
      <w:r>
        <w:t>7.4 Experimento A/B — Densidad ganadera y pérdida forestal</w:t>
      </w:r>
    </w:p>
    <w:p>
      <w:r>
        <w:rPr>
          <w:b w:val="0"/>
          <w:i w:val="0"/>
        </w:rPr>
        <w:t>Grupo A (alta densidad bovina): pérdida forestal media significativamente mayor. Grupo B (baja densidad bovina): pérdida consistentemente menor. La diferencia es estadísticamente significativa (p &lt; 0.05). Sin embargo, la causalidad inversa (deforestación facilita la expansión ganadera) no puede descartarse con este diseño observacional.</w:t>
      </w:r>
    </w:p>
    <w:p>
      <w:pPr>
        <w:pStyle w:val="Heading2"/>
      </w:pPr>
      <w:r>
        <w:t>7.5 Grafo de correlación — Corredor del Golfo</w:t>
      </w:r>
    </w:p>
    <w:p>
      <w:r>
        <w:rPr>
          <w:b w:val="0"/>
          <w:i w:val="0"/>
        </w:rPr>
        <w:t>Se construyó una red de correlación donde los nodos son estados y las aristas conectan pares con correlación de Pearson |r| &gt; 0.6 entre sus series temporales de pérdida forestal.</w:t>
      </w:r>
    </w:p>
    <w:p>
      <w:r>
        <w:rPr>
          <w:b w:val="0"/>
          <w:i w:val="0"/>
        </w:rPr>
        <w:t>Campeche, Chiapas, Quintana Roo, Tabasco y Veracruz forman un clúster densamente conectado —el "Corredor del Golfo"— cuyas series temporales son altamente sincrónicas. Cuando uno de estos estados tiene un año de alta deforestación, los demás también, lo que sugiere drivers regionales compartidos: ganadería, palma africana y dinámica climática de la Selva Maya.</w:t>
      </w:r>
    </w:p>
    <w:p>
      <w:pPr>
        <w:pStyle w:val="Heading2"/>
      </w:pPr>
      <w:r>
        <w:t>7.6 Destino del bosque deforestado</w:t>
      </w:r>
    </w:p>
    <w:p>
      <w:r>
        <w:rPr>
          <w:b w:val="0"/>
          <w:i w:val="0"/>
        </w:rPr>
        <w:t>Según los datos de SEMARNAT/CONAFOR, el 70–80 % de la deforestación registrada oficialmente corresponde a uso agropecuario:</w:t>
      </w:r>
    </w:p>
    <w:p>
      <w:pPr>
        <w:pStyle w:val="ListBullet"/>
        <w:ind w:left="283"/>
      </w:pPr>
      <w:r>
        <w:t>Pastizales: &gt; 40 % en estados del sureste (principal destino del bosque deforestado).</w:t>
      </w:r>
    </w:p>
    <w:p>
      <w:pPr>
        <w:pStyle w:val="ListBullet"/>
        <w:ind w:left="283"/>
      </w:pPr>
      <w:r>
        <w:t>Tierras agrícolas: ~30–35 % (cultivos anuales y permanentes).</w:t>
      </w:r>
    </w:p>
    <w:p>
      <w:pPr>
        <w:pStyle w:val="ListBullet"/>
        <w:ind w:left="283"/>
      </w:pPr>
      <w:r>
        <w:t>Otros usos (asentamientos, infraestructura, minería): &lt; 20 %.</w:t>
      </w:r>
    </w:p>
    <w:p>
      <w:r>
        <w:rPr>
          <w:b w:val="0"/>
          <w:i w:val="0"/>
        </w:rPr>
        <w:t>Este resultado es la evidencia más directa disponible del vínculo entre actividad agropecuaria y deforestación.</w:t>
      </w:r>
    </w:p>
    <w:p>
      <w:pPr>
        <w:pStyle w:val="Heading1"/>
      </w:pPr>
      <w:r>
        <w:t>8. Hipótesis Finales — Veredicto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c38"/>
          </w:tcPr>
          <w:p>
            <w:r>
              <w:rPr>
                <w:b/>
                <w:color w:val="FFFFFF"/>
              </w:rPr>
              <w:t>Hipótesis</w:t>
            </w:r>
          </w:p>
        </w:tc>
        <w:tc>
          <w:tcPr>
            <w:tcW w:type="dxa" w:w="3041"/>
            <w:shd w:val="clear" w:color="auto" w:fill="1a5c38"/>
          </w:tcPr>
          <w:p>
            <w:r>
              <w:rPr>
                <w:b/>
                <w:color w:val="FFFFFF"/>
              </w:rPr>
              <w:t>Veredicto</w:t>
            </w:r>
          </w:p>
        </w:tc>
        <w:tc>
          <w:tcPr>
            <w:tcW w:type="dxa" w:w="3041"/>
            <w:shd w:val="clear" w:color="auto" w:fill="1a5c38"/>
          </w:tcPr>
          <w:p>
            <w:r>
              <w:rPr>
                <w:b/>
                <w:color w:val="FFFFFF"/>
              </w:rPr>
              <w:t>Síntesis de evidencia</w:t>
            </w:r>
          </w:p>
        </w:tc>
      </w:tr>
      <w:tr>
        <w:tc>
          <w:tcPr>
            <w:tcW w:type="dxa" w:w="3041"/>
          </w:tcPr>
          <w:p>
            <w:r>
              <w:t>H1 — Cultivos de exportación</w:t>
            </w:r>
          </w:p>
        </w:tc>
        <w:tc>
          <w:tcPr>
            <w:tcW w:type="dxa" w:w="3041"/>
          </w:tcPr>
          <w:p>
            <w:r>
              <w:t>PARCIALMENTE CONFIRMADA</w:t>
            </w:r>
          </w:p>
        </w:tc>
        <w:tc>
          <w:tcPr>
            <w:tcW w:type="dxa" w:w="3041"/>
          </w:tcPr>
          <w:p>
            <w:r>
              <w:t>Palma africana (+495 %) y aguacate (+180 %) crecen junto con la pérdida forestal, pero el mecanismo es principalmente por desplazamiento (leakage) de agricultura tradicional, no por conversión directa de bosque.</w:t>
            </w:r>
          </w:p>
        </w:tc>
      </w:tr>
      <w:tr>
        <w:tc>
          <w:tcPr>
            <w:tcW w:type="dxa" w:w="3041"/>
          </w:tcPr>
          <w:p>
            <w:r>
              <w:t>H2 — Sureste como zona crítica</w:t>
            </w:r>
          </w:p>
        </w:tc>
        <w:tc>
          <w:tcPr>
            <w:tcW w:type="dxa" w:w="3041"/>
          </w:tcPr>
          <w:p>
            <w:r>
              <w:t>COMPLETAMENTE CONFIRMADA</w:t>
            </w:r>
          </w:p>
        </w:tc>
        <w:tc>
          <w:tcPr>
            <w:tcW w:type="dxa" w:w="3041"/>
          </w:tcPr>
          <w:p>
            <w:r>
              <w:t>Campeche, Chiapas, Quintana Roo y Veracruz acumulan el 59 % de la pérdida nacional. El resultado es robusto en todos los análisis.</w:t>
            </w:r>
          </w:p>
        </w:tc>
      </w:tr>
      <w:tr>
        <w:tc>
          <w:tcPr>
            <w:tcW w:type="dxa" w:w="3041"/>
          </w:tcPr>
          <w:p>
            <w:r>
              <w:t>H3 — Tendencia creciente con punto de quiebre</w:t>
            </w:r>
          </w:p>
        </w:tc>
        <w:tc>
          <w:tcPr>
            <w:tcW w:type="dxa" w:w="3041"/>
          </w:tcPr>
          <w:p>
            <w:r>
              <w:t>CONFIRMADA con matiz</w:t>
            </w:r>
          </w:p>
        </w:tc>
        <w:tc>
          <w:tcPr>
            <w:tcW w:type="dxa" w:w="3041"/>
          </w:tcPr>
          <w:p>
            <w:r>
              <w:t>La tendencia es creciente y el pico de 2019 es estadísticamente anómalo (Z = +2.5). El punto de quiebre coincide con el cambio de administración federal y la cancelación de PRONAFOR.</w:t>
            </w:r>
          </w:p>
        </w:tc>
      </w:tr>
      <w:tr>
        <w:tc>
          <w:tcPr>
            <w:tcW w:type="dxa" w:w="3041"/>
          </w:tcPr>
          <w:p>
            <w:r>
              <w:t>H4 — Ganadería bovina como driver</w:t>
            </w:r>
          </w:p>
        </w:tc>
        <w:tc>
          <w:tcPr>
            <w:tcW w:type="dxa" w:w="3041"/>
          </w:tcPr>
          <w:p>
            <w:r>
              <w:t>SOPORTADA, no concluyente</w:t>
            </w:r>
          </w:p>
        </w:tc>
        <w:tc>
          <w:tcPr>
            <w:tcW w:type="dxa" w:w="3041"/>
          </w:tcPr>
          <w:p>
            <w:r>
              <w:t>Los estados ganaderos presentan mayor pérdida forestal (p &lt; 0.05). Los pastizales son el principal destino del bosque deforestado. Se requieren datos más granulares para establecer causalidad directa.</w:t>
            </w:r>
          </w:p>
        </w:tc>
      </w:tr>
    </w:tbl>
    <w:p/>
    <w:p>
      <w:pPr>
        <w:pStyle w:val="Heading1"/>
      </w:pPr>
      <w:r>
        <w:t>9. Conclusiones</w:t>
      </w:r>
    </w:p>
    <w:p>
      <w:pPr>
        <w:pStyle w:val="Heading2"/>
      </w:pPr>
      <w:r>
        <w:t>9.1 Síntesis de hallazgos</w:t>
      </w:r>
    </w:p>
    <w:p>
      <w:pPr>
        <w:spacing w:before="120" w:after="120"/>
        <w:ind w:left="567" w:right="567"/>
      </w:pPr>
      <w:r>
        <w:rPr>
          <w:i/>
          <w:color w:val="1A5C38"/>
        </w:rPr>
        <w:t>México está perdiendo su cobertura forestal a una tasa sistemáticamente subestimada por el gobierno, impulsada principalmente por la ganadería extensiva bovina y la expansión de cultivos de exportación en el sureste del país.</w:t>
      </w:r>
    </w:p>
    <w:p>
      <w:r>
        <w:rPr>
          <w:b w:val="0"/>
          <w:i w:val="0"/>
        </w:rPr>
        <w:t>Los siete hallazgos más importantes del proyecto son:</w:t>
      </w:r>
    </w:p>
    <w:p>
      <w:pPr>
        <w:pStyle w:val="ListBullet"/>
        <w:ind w:left="283"/>
      </w:pPr>
      <w:r>
        <w:t>La escala de la crisis: 4,886,723 ha perdidas en 23 años a una tasa media de 212,466 ha/año (IC 95 %: 175,000–250,000). El país pierde en promedio la superficie de la Ciudad de México cada 4.6 años.</w:t>
      </w:r>
    </w:p>
    <w:p>
      <w:pPr>
        <w:pStyle w:val="ListBullet"/>
        <w:ind w:left="283"/>
      </w:pPr>
      <w:r>
        <w:t>2019 fue un outlier estadístico severo (Z = +2.5): 327,438 ha perdidas en un solo año, 54 % sobre la media histórica. Coincide con el primer año completo del nuevo gobierno y la cancelación de PRONAFOR.</w:t>
      </w:r>
    </w:p>
    <w:p>
      <w:pPr>
        <w:pStyle w:val="ListBullet"/>
        <w:ind w:left="283"/>
      </w:pPr>
      <w:r>
        <w:t>Concentración geográfica extrema: el sureste (Campeche, Chiapas, Quintana Roo, Veracruz, Oaxaca) concentra más del 62 % de toda la pérdida forestal nacional.</w:t>
      </w:r>
    </w:p>
    <w:p>
      <w:pPr>
        <w:pStyle w:val="ListBullet"/>
        <w:ind w:left="283"/>
      </w:pPr>
      <w:r>
        <w:t>El bosque se convierte principalmente en pastizal (&gt; 40 % del área deforestada en el sureste), lo que conecta directamente la expansión ganadera con la pérdida forestal.</w:t>
      </w:r>
    </w:p>
    <w:p>
      <w:pPr>
        <w:pStyle w:val="ListBullet"/>
        <w:ind w:left="283"/>
      </w:pPr>
      <w:r>
        <w:t>Los cultivos de exportación son aceleradores secundarios: palma africana y aguacate crecen explosivamente, desplazando a la agricultura tradicional hacia la frontera forestal.</w:t>
      </w:r>
    </w:p>
    <w:p>
      <w:pPr>
        <w:pStyle w:val="ListBullet"/>
        <w:ind w:left="283"/>
      </w:pPr>
      <w:r>
        <w:t>El gobierno subreporta sistemáticamente: los datos oficiales reconocen solo el 40–55 % de la deforestación que los satélites detectan. En 2019, la diferencia fue de 223,000 ha no reportadas oficialmente.</w:t>
      </w:r>
    </w:p>
    <w:p>
      <w:pPr>
        <w:pStyle w:val="ListBullet"/>
        <w:ind w:left="283"/>
      </w:pPr>
      <w:r>
        <w:t>Los datos ganaderos de 2023 están ausentes del portal de datos abiertos del gobierno, el peor año del sexenio en términos de presión forestal documentada por satélites.</w:t>
      </w:r>
    </w:p>
    <w:p>
      <w:pPr>
        <w:pStyle w:val="Heading2"/>
      </w:pPr>
      <w:r>
        <w:t>9.2 Implicaciones para política pública</w:t>
      </w:r>
    </w:p>
    <w:p>
      <w:pPr>
        <w:pStyle w:val="ListBullet"/>
        <w:ind w:left="283"/>
      </w:pPr>
      <w:r>
        <w:t>Restablecer programas de conservación forestal basados en monitoreo satelital independiente.</w:t>
      </w:r>
    </w:p>
    <w:p>
      <w:pPr>
        <w:pStyle w:val="ListBullet"/>
        <w:ind w:left="283"/>
      </w:pPr>
      <w:r>
        <w:t>Publicar los datos ganaderos con periodicidad anual y sin omisiones.</w:t>
      </w:r>
    </w:p>
    <w:p>
      <w:pPr>
        <w:pStyle w:val="ListBullet"/>
        <w:ind w:left="283"/>
      </w:pPr>
      <w:r>
        <w:t>Concentrar intervenciones de gobernanza forestal en el "Corredor del Golfo": Campeche, Chiapas, Tabasco, Veracruz, Quintana Roo y Oaxaca.</w:t>
      </w:r>
    </w:p>
    <w:p>
      <w:pPr>
        <w:pStyle w:val="ListBullet"/>
        <w:ind w:left="283"/>
      </w:pPr>
      <w:r>
        <w:t>Adoptar el threshold GFW (30 %) como estándar oficial de reporte para asegurar comparabilidad internacional.</w:t>
      </w:r>
    </w:p>
    <w:p>
      <w:pPr>
        <w:pStyle w:val="Heading2"/>
      </w:pPr>
      <w:r>
        <w:t>9.3 Limitaciones del estudio</w:t>
      </w:r>
    </w:p>
    <w:p>
      <w:pPr>
        <w:pStyle w:val="ListBullet"/>
        <w:ind w:left="283"/>
      </w:pPr>
      <w:r>
        <w:t>Los datos ganaderos del SIAP solo cubren 2006–2022 (más 2024, sin 2023), limitando el análisis de los años más recientes.</w:t>
      </w:r>
    </w:p>
    <w:p>
      <w:pPr>
        <w:pStyle w:val="ListBullet"/>
        <w:ind w:left="283"/>
      </w:pPr>
      <w:r>
        <w:t>Los datos oficiales de deforestación solo cubren 10 estados, lo que impide un análisis completo del subreporte a nivel nacional.</w:t>
      </w:r>
    </w:p>
    <w:p>
      <w:pPr>
        <w:pStyle w:val="ListBullet"/>
        <w:ind w:left="283"/>
      </w:pPr>
      <w:r>
        <w:t>El diseño observacional no permite establecer causalidad directa entre ganadería y deforestación; se requieren estudios cuasi-experimentales o datos de parcelas.</w:t>
      </w:r>
    </w:p>
    <w:p>
      <w:pPr>
        <w:pStyle w:val="Heading1"/>
      </w:pPr>
      <w:r>
        <w:t>10. Referencias</w:t>
      </w:r>
    </w:p>
    <w:p>
      <w:pPr>
        <w:pStyle w:val="Heading2"/>
      </w:pPr>
      <w:r>
        <w:t>Fuentes de datos</w:t>
      </w:r>
    </w:p>
    <w:p>
      <w:pPr>
        <w:pStyle w:val="ListBullet"/>
        <w:ind w:left="283"/>
      </w:pPr>
      <w:r>
        <w:t>1. Global Forest Watch (2024). Hansen/UMD/Google/USGS/NASA Tree Cover Loss — Mexico (MEX.xlsx). University of Maryland, GLAD Lab. Umbral: 30 %. Período: 2001–2023.</w:t>
      </w:r>
    </w:p>
    <w:p>
      <w:pPr>
        <w:pStyle w:val="ListBullet"/>
        <w:ind w:left="283"/>
      </w:pPr>
      <w:r>
        <w:t>2. SIAP — Servicio de Información Agroalimentaria y Pesquera (2024). Sistema de Información Agroalimentaria de Consulta (SIACON). Cierre de ciclos agrícolas 2001–2023. SADER.</w:t>
      </w:r>
    </w:p>
    <w:p>
      <w:pPr>
        <w:pStyle w:val="ListBullet"/>
        <w:ind w:left="283"/>
      </w:pPr>
      <w:r>
        <w:t>3. SIAP — Servicio de Información Agroalimentaria y Pesquera (2024). Producción Pecuaria por especie, estado y municipio. Archivos de cierre 2006–2024. SADER.</w:t>
      </w:r>
    </w:p>
    <w:p>
      <w:pPr>
        <w:pStyle w:val="ListBullet"/>
        <w:ind w:left="283"/>
      </w:pPr>
      <w:r>
        <w:t>4. SEMARNAT / CONAFOR (2024). Deforestación y degradación forestal estatal 2001–2023 (deforestacion_estatal_2023.xlsx). Comisión Nacional Forestal.</w:t>
      </w:r>
    </w:p>
    <w:p>
      <w:pPr>
        <w:pStyle w:val="Heading2"/>
      </w:pPr>
      <w:r>
        <w:t>Literatura académica</w:t>
      </w:r>
    </w:p>
    <w:p>
      <w:pPr>
        <w:pStyle w:val="ListBullet"/>
        <w:ind w:left="283"/>
      </w:pPr>
      <w:r>
        <w:t>5. Aide, T. M., et al. (2013). Deforestation and Reforestation of Latin America and the Caribbean (2001–2010). Biotropica, 45(2), 262–271.</w:t>
      </w:r>
    </w:p>
    <w:p>
      <w:pPr>
        <w:pStyle w:val="ListBullet"/>
        <w:ind w:left="283"/>
      </w:pPr>
      <w:r>
        <w:t>6. Bonilla-Moheno, M., &amp; Aide, T. M. (2020). Beyond deforestation: Land cover transitions in Mexico. Agriculture, Ecosystems &amp; Environment, 290, 106746.</w:t>
      </w:r>
    </w:p>
    <w:p>
      <w:pPr>
        <w:pStyle w:val="ListBullet"/>
        <w:ind w:left="283"/>
      </w:pPr>
      <w:r>
        <w:t>7. Hansen, M. C., et al. (2013). High-Resolution Global Maps of 21st-Century Forest Cover Change. Science, 342(6160), 850–853.</w:t>
      </w:r>
    </w:p>
    <w:p>
      <w:pPr>
        <w:pStyle w:val="ListBullet"/>
        <w:ind w:left="283"/>
      </w:pPr>
      <w:r>
        <w:t>8. Kissinger, G., Herold, M., &amp; De Sy, V. (2012). Drivers of Deforestation and Forest Degradation: A Synthesis Report for REDD+ Policymakers. Lexeme Consulting, Vancouver.</w:t>
      </w:r>
    </w:p>
    <w:p>
      <w:pPr>
        <w:pStyle w:val="ListBullet"/>
        <w:ind w:left="283"/>
      </w:pPr>
      <w:r>
        <w:t>9. Pendrill, F., et al. (2019). Agricultural and forestry trade drives large share of tropical deforestation emissions. Global Environmental Change, 56, 1–10.</w:t>
      </w:r>
    </w:p>
    <w:p>
      <w:pPr>
        <w:pStyle w:val="Heading1"/>
      </w:pPr>
      <w:r>
        <w:t>Anexo — Estructura del Repositorio</w:t>
      </w:r>
    </w:p>
    <w:p>
      <w:pPr>
        <w:ind w:left="567"/>
      </w:pPr>
      <w:r>
        <w:rPr>
          <w:rFonts w:ascii="Courier New" w:hAnsi="Courier New"/>
          <w:sz w:val="18"/>
        </w:rPr>
        <w:t>Deforestacion_Mexico/</w:t>
        <w:br/>
        <w:t>├── Data/</w:t>
        <w:br/>
        <w:t>│   ├── MEX.xlsx                    # GFW — pérdida forestal 2001-2023</w:t>
        <w:br/>
        <w:t>│   ├── DGSIAP/                     # SIAP agrícola 2001-2023</w:t>
        <w:br/>
        <w:t>│   ├── Produccion_Ganado/          # SIAP pecuario 2006-2024</w:t>
        <w:br/>
        <w:t>│   └── Deforestacion_Gobierno/     # SEMARNAT/CONAFOR</w:t>
        <w:br/>
        <w:t>├── EDA.ipynb                       # Fase 1: Análisis exploratorio</w:t>
        <w:br/>
        <w:t>├── dim_reduction.ipynb             # Fase 1: Reducción de dimensionalidad</w:t>
        <w:br/>
        <w:t>├── fase2_analisis_estadistico.ipynb # Fase 2: Análisis estadístico</w:t>
        <w:br/>
        <w:t>├── reporte_final.ipynb             # Reporte académico completo</w:t>
        <w:br/>
        <w:t>├── Files/</w:t>
        <w:br/>
        <w:t>│   ├── deforestacion_mexico.docx   # Este documento</w:t>
        <w:br/>
        <w:t>│   ├── presentacion_deforestacion_mexico.pptx</w:t>
        <w:br/>
        <w:t>│   └── guion_presentacion.md</w:t>
        <w:br/>
        <w:t>├── eda_output/                     # Visualizaciones Fase 1</w:t>
        <w:br/>
        <w:t>├── fase2_output/                   # Visualizaciones Fase 2</w:t>
        <w:br/>
        <w:t>└── story_output/                   # Visualizaciones narrativas</w:t>
        <w:b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5C38"/>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5C3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A5C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