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23825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2F5FD9"/>
          <w:spacing w:val="20"/>
          <w:sz w:val="16"/>
          <w:szCs w:val="16"/>
        </w:rPr>
        <w:t xml:space="preserve">PROJECT DOCUMENTATION · 08 OF 08</w:t>
      </w:r>
    </w:p>
    <w:p>
      <w:pPr>
        <w:spacing w:after="100"/>
      </w:pPr>
      <w:r>
        <w:rPr>
          <w:b/>
          <w:bCs/>
          <w:color w:val="0F172A"/>
          <w:sz w:val="56"/>
          <w:szCs w:val="56"/>
        </w:rPr>
        <w:t xml:space="preserve">ReadMe</w:t>
      </w:r>
    </w:p>
    <w:p>
      <w:pPr>
        <w:spacing w:after="60"/>
      </w:pPr>
      <w:r>
        <w:rPr>
          <w:color w:val="475569"/>
          <w:sz w:val="22"/>
          <w:szCs w:val="22"/>
        </w:rPr>
        <w:t xml:space="preserve">SmartSociety — Web-Based Housing Society Management System</w:t>
      </w:r>
    </w:p>
    <w:p>
      <w:pPr>
        <w:pBdr>
          <w:bottom w:val="single" w:color="2F5FD9" w:sz="12" w:space="8"/>
        </w:pBdr>
        <w:spacing w:after="100"/>
      </w:pPr>
      <w:r>
        <w:rPr>
          <w:rFonts w:ascii="Consolas" w:cs="Consolas" w:eastAsia="Consolas" w:hAnsi="Consolas"/>
          <w:color w:val="475569"/>
          <w:sz w:val="19"/>
          <w:szCs w:val="19"/>
        </w:rPr>
        <w:t xml:space="preserve">Submitted for  </w:t>
      </w:r>
      <w:r>
        <w:rPr>
          <w:rFonts w:ascii="Consolas" w:cs="Consolas" w:eastAsia="Consolas" w:hAnsi="Consolas"/>
          <w:color w:val="0F172A"/>
          <w:sz w:val="19"/>
          <w:szCs w:val="19"/>
        </w:rPr>
        <w:t xml:space="preserve">Contest-AZM / Aptech Learning, Full-Stack Application Development</w:t>
      </w:r>
    </w:p>
    <w:p>
      <w:pPr>
        <w:spacing w:after="400"/>
      </w:pPr>
      <w:r>
        <w:rPr>
          <w:rFonts w:ascii="Consolas" w:cs="Consolas" w:eastAsia="Consolas" w:hAnsi="Consolas"/>
          <w:color w:val="475569"/>
          <w:sz w:val="19"/>
          <w:szCs w:val="19"/>
        </w:rPr>
        <w:t xml:space="preserve">Date  </w:t>
      </w:r>
      <w:r>
        <w:rPr>
          <w:rFonts w:ascii="Consolas" w:cs="Consolas" w:eastAsia="Consolas" w:hAnsi="Consolas"/>
          <w:color w:val="0F172A"/>
          <w:sz w:val="19"/>
          <w:szCs w:val="19"/>
        </w:rPr>
        <w:t xml:space="preserve">August 2026</w:t>
      </w:r>
    </w:p>
    <w:p>
      <w:pPr>
        <w:pStyle w:val="Heading2"/>
        <w:spacing w:after="140" w:before="320"/>
      </w:pPr>
      <w:r>
        <w:rPr>
          <w:b/>
          <w:bCs/>
          <w:color w:val="2F5FD9"/>
          <w:sz w:val="24"/>
          <w:szCs w:val="24"/>
        </w:rPr>
        <w:t xml:space="preserve">1.  </w:t>
      </w:r>
      <w:r>
        <w:rPr>
          <w:b/>
          <w:bCs/>
          <w:color w:val="0F172A"/>
          <w:sz w:val="24"/>
          <w:szCs w:val="24"/>
        </w:rPr>
        <w:t xml:space="preserve">What This Is</w:t>
      </w:r>
    </w:p>
    <w:p>
      <w:pPr>
        <w:spacing w:after="180" w:line="300"/>
      </w:pPr>
      <w:r>
        <w:rPr>
          <w:color w:val="0F172A"/>
          <w:sz w:val="21"/>
          <w:szCs w:val="21"/>
        </w:rPr>
        <w:t xml:space="preserve">SmartSociety is a role-based web application for running a housing society — resident billing, visitor gate control, maintenance complaints with SLA tracking, amenity booking, polls and notices, an immutable audit trail, and a real-time emergency broadcast — built against the brief's SRS as a working system, not a mockup. Every screen described in this documentation set is wired to a real Node/Express + MySQL backend; nothing is hardcoded demo data rendered from the frontend alone.</w:t>
      </w:r>
    </w:p>
    <w:p>
      <w:pPr>
        <w:pStyle w:val="Heading2"/>
        <w:spacing w:after="140" w:before="320"/>
      </w:pPr>
      <w:r>
        <w:rPr>
          <w:b/>
          <w:bCs/>
          <w:color w:val="2F5FD9"/>
          <w:sz w:val="24"/>
          <w:szCs w:val="24"/>
        </w:rPr>
        <w:t xml:space="preserve">2.  </w:t>
      </w:r>
      <w:r>
        <w:rPr>
          <w:b/>
          <w:bCs/>
          <w:color w:val="0F172A"/>
          <w:sz w:val="24"/>
          <w:szCs w:val="24"/>
        </w:rPr>
        <w:t xml:space="preserve">Documentation Set</w:t>
      </w:r>
    </w:p>
    <w:p>
      <w:pPr>
        <w:spacing w:after="180" w:line="300"/>
      </w:pPr>
      <w:r>
        <w:rPr>
          <w:color w:val="0F172A"/>
          <w:sz w:val="21"/>
          <w:szCs w:val="21"/>
        </w:rPr>
        <w:t xml:space="preserve">The other seven documents are included alongside this one, as PDFs in the same submission folder.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2F5FD9"/>
          <w:sz w:val="19"/>
          <w:szCs w:val="19"/>
        </w:rPr>
        <w:t xml:space="preserve">01  </w:t>
      </w:r>
      <w:r>
        <w:rPr>
          <w:b/>
          <w:bCs/>
          <w:color w:val="0F172A"/>
          <w:sz w:val="21"/>
          <w:szCs w:val="21"/>
        </w:rPr>
        <w:t xml:space="preserve">Problem Definition</w:t>
      </w:r>
      <w:r>
        <w:rPr>
          <w:color w:val="475569"/>
          <w:sz w:val="20"/>
          <w:szCs w:val="20"/>
        </w:rPr>
        <w:t xml:space="preserve">  —  Background, problem statement, objectives, scope</w:t>
      </w:r>
      <w:r>
        <w:rPr>
          <w:rFonts w:ascii="Consolas" w:cs="Consolas" w:eastAsia="Consolas" w:hAnsi="Consolas"/>
          <w:color w:val="94A3B8"/>
          <w:sz w:val="17"/>
          <w:szCs w:val="17"/>
        </w:rPr>
        <w:t xml:space="preserve">  (01-Problem-Definition.pdf)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2F5FD9"/>
          <w:sz w:val="19"/>
          <w:szCs w:val="19"/>
        </w:rPr>
        <w:t xml:space="preserve">02  </w:t>
      </w:r>
      <w:r>
        <w:rPr>
          <w:b/>
          <w:bCs/>
          <w:color w:val="0F172A"/>
          <w:sz w:val="21"/>
          <w:szCs w:val="21"/>
        </w:rPr>
        <w:t xml:space="preserve">Design Specification</w:t>
      </w:r>
      <w:r>
        <w:rPr>
          <w:color w:val="475569"/>
          <w:sz w:val="20"/>
          <w:szCs w:val="20"/>
        </w:rPr>
        <w:t xml:space="preserve">  —  Architecture, tech stack, module breakdown, security, API summary</w:t>
      </w:r>
      <w:r>
        <w:rPr>
          <w:rFonts w:ascii="Consolas" w:cs="Consolas" w:eastAsia="Consolas" w:hAnsi="Consolas"/>
          <w:color w:val="94A3B8"/>
          <w:sz w:val="17"/>
          <w:szCs w:val="17"/>
        </w:rPr>
        <w:t xml:space="preserve">  (02-Design-Specification.pdf)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2F5FD9"/>
          <w:sz w:val="19"/>
          <w:szCs w:val="19"/>
        </w:rPr>
        <w:t xml:space="preserve">03  </w:t>
      </w:r>
      <w:r>
        <w:rPr>
          <w:b/>
          <w:bCs/>
          <w:color w:val="0F172A"/>
          <w:sz w:val="21"/>
          <w:szCs w:val="21"/>
        </w:rPr>
        <w:t xml:space="preserve">Flowcharts &amp; DFDs</w:t>
      </w:r>
      <w:r>
        <w:rPr>
          <w:color w:val="475569"/>
          <w:sz w:val="20"/>
          <w:szCs w:val="20"/>
        </w:rPr>
        <w:t xml:space="preserve">  —  Role journeys plus Level-0 / Level-1 data flow diagrams</w:t>
      </w:r>
      <w:r>
        <w:rPr>
          <w:rFonts w:ascii="Consolas" w:cs="Consolas" w:eastAsia="Consolas" w:hAnsi="Consolas"/>
          <w:color w:val="94A3B8"/>
          <w:sz w:val="17"/>
          <w:szCs w:val="17"/>
        </w:rPr>
        <w:t xml:space="preserve">  (03-Flowcharts-and-DFDs.pdf)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2F5FD9"/>
          <w:sz w:val="19"/>
          <w:szCs w:val="19"/>
        </w:rPr>
        <w:t xml:space="preserve">04  </w:t>
      </w:r>
      <w:r>
        <w:rPr>
          <w:b/>
          <w:bCs/>
          <w:color w:val="0F172A"/>
          <w:sz w:val="21"/>
          <w:szCs w:val="21"/>
        </w:rPr>
        <w:t xml:space="preserve">Database Design</w:t>
      </w:r>
      <w:r>
        <w:rPr>
          <w:color w:val="475569"/>
          <w:sz w:val="20"/>
          <w:szCs w:val="20"/>
        </w:rPr>
        <w:t xml:space="preserve">  —  ER diagram and full data dictionary, 21 tables</w:t>
      </w:r>
      <w:r>
        <w:rPr>
          <w:rFonts w:ascii="Consolas" w:cs="Consolas" w:eastAsia="Consolas" w:hAnsi="Consolas"/>
          <w:color w:val="94A3B8"/>
          <w:sz w:val="17"/>
          <w:szCs w:val="17"/>
        </w:rPr>
        <w:t xml:space="preserve">  (04-Database-Design.pdf)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2F5FD9"/>
          <w:sz w:val="19"/>
          <w:szCs w:val="19"/>
        </w:rPr>
        <w:t xml:space="preserve">05  </w:t>
      </w:r>
      <w:r>
        <w:rPr>
          <w:b/>
          <w:bCs/>
          <w:color w:val="0F172A"/>
          <w:sz w:val="21"/>
          <w:szCs w:val="21"/>
        </w:rPr>
        <w:t xml:space="preserve">Test Data</w:t>
      </w:r>
      <w:r>
        <w:rPr>
          <w:color w:val="475569"/>
          <w:sz w:val="20"/>
          <w:szCs w:val="20"/>
        </w:rPr>
        <w:t xml:space="preserve">  —  Seeded accounts and sample records used for verification</w:t>
      </w:r>
      <w:r>
        <w:rPr>
          <w:rFonts w:ascii="Consolas" w:cs="Consolas" w:eastAsia="Consolas" w:hAnsi="Consolas"/>
          <w:color w:val="94A3B8"/>
          <w:sz w:val="17"/>
          <w:szCs w:val="17"/>
        </w:rPr>
        <w:t xml:space="preserve">  (05-Test-Data.pdf)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2F5FD9"/>
          <w:sz w:val="19"/>
          <w:szCs w:val="19"/>
        </w:rPr>
        <w:t xml:space="preserve">06  </w:t>
      </w:r>
      <w:r>
        <w:rPr>
          <w:b/>
          <w:bCs/>
          <w:color w:val="0F172A"/>
          <w:sz w:val="21"/>
          <w:szCs w:val="21"/>
        </w:rPr>
        <w:t xml:space="preserve">Installation Instructions</w:t>
      </w:r>
      <w:r>
        <w:rPr>
          <w:color w:val="475569"/>
          <w:sz w:val="20"/>
          <w:szCs w:val="20"/>
        </w:rPr>
        <w:t xml:space="preserve">  —  Backend, frontend, and database setup, with env-var reference</w:t>
      </w:r>
      <w:r>
        <w:rPr>
          <w:rFonts w:ascii="Consolas" w:cs="Consolas" w:eastAsia="Consolas" w:hAnsi="Consolas"/>
          <w:color w:val="94A3B8"/>
          <w:sz w:val="17"/>
          <w:szCs w:val="17"/>
        </w:rPr>
        <w:t xml:space="preserve">  (06-Installation-Instructions.pdf)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2F5FD9"/>
          <w:sz w:val="19"/>
          <w:szCs w:val="19"/>
        </w:rPr>
        <w:t xml:space="preserve">07  </w:t>
      </w:r>
      <w:r>
        <w:rPr>
          <w:b/>
          <w:bCs/>
          <w:color w:val="0F172A"/>
          <w:sz w:val="21"/>
          <w:szCs w:val="21"/>
        </w:rPr>
        <w:t xml:space="preserve">User Credentials</w:t>
      </w:r>
      <w:r>
        <w:rPr>
          <w:color w:val="475569"/>
          <w:sz w:val="20"/>
          <w:szCs w:val="20"/>
        </w:rPr>
        <w:t xml:space="preserve">  —  Demo logins for Admin, Resident, and Guard</w:t>
      </w:r>
      <w:r>
        <w:rPr>
          <w:rFonts w:ascii="Consolas" w:cs="Consolas" w:eastAsia="Consolas" w:hAnsi="Consolas"/>
          <w:color w:val="94A3B8"/>
          <w:sz w:val="17"/>
          <w:szCs w:val="17"/>
        </w:rPr>
        <w:t xml:space="preserve">  (07-User-Credentials.pdf)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2F5FD9"/>
          <w:sz w:val="19"/>
          <w:szCs w:val="19"/>
        </w:rPr>
        <w:t xml:space="preserve">08  </w:t>
      </w:r>
      <w:r>
        <w:rPr>
          <w:b/>
          <w:bCs/>
          <w:color w:val="0F172A"/>
          <w:sz w:val="21"/>
          <w:szCs w:val="21"/>
        </w:rPr>
        <w:t xml:space="preserve">ReadMe</w:t>
      </w:r>
      <w:r>
        <w:rPr>
          <w:color w:val="475569"/>
          <w:sz w:val="20"/>
          <w:szCs w:val="20"/>
        </w:rPr>
        <w:t xml:space="preserve">  —  This document</w:t>
      </w:r>
      <w:r>
        <w:rPr>
          <w:rFonts w:ascii="Consolas" w:cs="Consolas" w:eastAsia="Consolas" w:hAnsi="Consolas"/>
          <w:color w:val="94A3B8"/>
          <w:sz w:val="17"/>
          <w:szCs w:val="17"/>
        </w:rPr>
        <w:t xml:space="preserve">  (08-ReadMe.docx)</w:t>
      </w:r>
    </w:p>
    <w:p>
      <w:pPr>
        <w:pStyle w:val="Heading2"/>
        <w:spacing w:after="140" w:before="320"/>
      </w:pPr>
      <w:r>
        <w:rPr>
          <w:b/>
          <w:bCs/>
          <w:color w:val="2F5FD9"/>
          <w:sz w:val="24"/>
          <w:szCs w:val="24"/>
        </w:rPr>
        <w:t xml:space="preserve">3.  </w:t>
      </w:r>
      <w:r>
        <w:rPr>
          <w:b/>
          <w:bCs/>
          <w:color w:val="0F172A"/>
          <w:sz w:val="24"/>
          <w:szCs w:val="24"/>
        </w:rPr>
        <w:t xml:space="preserve">Quick Start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0F172A"/>
          <w:sz w:val="41"/>
          <w:szCs w:val="41"/>
        </w:rPr>
        <w:t xml:space="preserve">Start MySQL / MariaDB (e.g. via XAMPP).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0F172A"/>
          <w:sz w:val="41"/>
          <w:szCs w:val="41"/>
        </w:rPr>
        <w:t xml:space="preserve">Backend: install, configure, seed, and run (see command block below).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0F172A"/>
          <w:sz w:val="41"/>
          <w:szCs w:val="41"/>
        </w:rPr>
        <w:t xml:space="preserve">Frontend: install and run the Vite dev server.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0F172A"/>
          <w:sz w:val="41"/>
          <w:szCs w:val="41"/>
        </w:rPr>
        <w:t xml:space="preserve">Open the app and log in with a demo account (see User Credentials, doc 07).</w:t>
      </w:r>
    </w:p>
    <w:p>
      <w:pPr>
        <w:spacing w:after="120" w:before="120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cd Backend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npm install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cp .env.example .env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npm run seed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npm run dev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cd frontend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npm install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npm run dev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# open http://localhost:5173</w:t>
            </w:r>
          </w:p>
        </w:tc>
      </w:tr>
    </w:tbl>
    <w:p>
      <w:pPr>
        <w:spacing w:after="0" w:before="160"/>
      </w:pPr>
    </w:p>
    <w:p>
      <w:pPr>
        <w:spacing w:after="180" w:line="300"/>
      </w:pPr>
      <w:r>
        <w:rPr>
          <w:color w:val="0F172A"/>
          <w:sz w:val="21"/>
          <w:szCs w:val="21"/>
        </w:rPr>
        <w:t xml:space="preserve">Full detail, including what each environment variable does, is in the Installation Instructions document (06).</w:t>
      </w:r>
    </w:p>
    <w:p>
      <w:pPr>
        <w:pStyle w:val="Heading2"/>
        <w:spacing w:after="140" w:before="320"/>
      </w:pPr>
      <w:r>
        <w:rPr>
          <w:b/>
          <w:bCs/>
          <w:color w:val="2F5FD9"/>
          <w:sz w:val="24"/>
          <w:szCs w:val="24"/>
        </w:rPr>
        <w:t xml:space="preserve">4.  </w:t>
      </w:r>
      <w:r>
        <w:rPr>
          <w:b/>
          <w:bCs/>
          <w:color w:val="0F172A"/>
          <w:sz w:val="24"/>
          <w:szCs w:val="24"/>
        </w:rPr>
        <w:t xml:space="preserve">Assumptions &amp; Known Limitations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0F172A"/>
          <w:sz w:val="41"/>
          <w:szCs w:val="41"/>
        </w:rPr>
        <w:t xml:space="preserve">Bill payment is simulated — there is no live payment-gateway integration or bank settlement, per the brief's scope.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0F172A"/>
          <w:sz w:val="41"/>
          <w:szCs w:val="41"/>
        </w:rPr>
        <w:t xml:space="preserve">Complaint routing assigns tickets to accounts carrying the Guard role at the database level, since the schema's role enum matches the SRS's three roles (Admin, Resident, Guard) exactly; “portal staff” is a usage of that role, not a fourth role.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0F172A"/>
          <w:sz w:val="41"/>
          <w:szCs w:val="41"/>
        </w:rPr>
        <w:t xml:space="preserve">Without real SMTP credentials configured, OTP and password-reset emails are delivered to an auto-provisioned Ethereal test inbox rather than a real mailbox — a development convenience, not a shortcut in the login logic itself.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0F172A"/>
          <w:sz w:val="41"/>
          <w:szCs w:val="41"/>
        </w:rPr>
        <w:t xml:space="preserve">Complaint photo uploads fall back to local disk storage if Cloudinary credentials aren't set.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0F172A"/>
          <w:sz w:val="41"/>
          <w:szCs w:val="41"/>
        </w:rPr>
        <w:t xml:space="preserve">The system was built and tested against a single society (Green Valley RWA); multi-society tenancy is out of scope.</w:t>
      </w:r>
    </w:p>
    <w:p>
      <w:pPr>
        <w:pStyle w:val="Heading2"/>
        <w:spacing w:after="140" w:before="320"/>
      </w:pPr>
      <w:r>
        <w:rPr>
          <w:b/>
          <w:bCs/>
          <w:color w:val="2F5FD9"/>
          <w:sz w:val="24"/>
          <w:szCs w:val="24"/>
        </w:rPr>
        <w:t xml:space="preserve">5.  </w:t>
      </w:r>
      <w:r>
        <w:rPr>
          <w:b/>
          <w:bCs/>
          <w:color w:val="0F172A"/>
          <w:sz w:val="24"/>
          <w:szCs w:val="24"/>
        </w:rPr>
        <w:t xml:space="preserve">Submission Notes</w:t>
      </w:r>
    </w:p>
    <w:tbl>
      <w:tblPr>
        <w:tblW w:type="pct" w:w="100%"/>
        <w:tblBorders>
          <w:top w:val="single" w:color="E2E8F0" w:sz="4"/>
          <w:left w:val="single" w:color="2F5FD9" w:sz="2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15"/>
                <w:sz w:val="16"/>
                <w:szCs w:val="16"/>
              </w:rPr>
              <w:t xml:space="preserve">OUTSTANDING FOR SUBMISSION</w:t>
            </w:r>
          </w:p>
          <w:p>
            <w:r>
              <w:rPr>
                <w:color w:val="0F172A"/>
                <w:sz w:val="21"/>
                <w:szCs w:val="21"/>
              </w:rPr>
              <w:t xml:space="preserve">Two deliverables the brief calls for sit outside what this documentation pass covers: a recorded demo video, and hosting the running application on a public URL. Both require actions on accounts the project owner controls (a screen recorder / video host, and a hosting provider) rather than something that can be drafted as a document.</w:t>
            </w:r>
          </w:p>
        </w:tc>
      </w:tr>
    </w:tbl>
    <w:p>
      <w:pPr>
        <w:pBdr>
          <w:top w:val="single" w:color="E2E8F0" w:sz="4" w:space="8"/>
        </w:pBdr>
        <w:spacing w:before="500"/>
      </w:pPr>
      <w:r>
        <w:rPr>
          <w:rFonts w:ascii="Consolas" w:cs="Consolas" w:eastAsia="Consolas" w:hAnsi="Consolas"/>
          <w:color w:val="94A3B8"/>
          <w:sz w:val="19"/>
          <w:szCs w:val="19"/>
        </w:rPr>
        <w:t xml:space="preserve">SmartSociety · ReadMe</w:t>
      </w:r>
      <w:r>
        <w:t xml:space="preserve">					</w:t>
      </w:r>
      <w:r>
        <w:rPr>
          <w:rFonts w:ascii="Consolas" w:cs="Consolas" w:eastAsia="Consolas" w:hAnsi="Consolas"/>
          <w:color w:val="94A3B8"/>
          <w:sz w:val="19"/>
          <w:szCs w:val="19"/>
        </w:rPr>
        <w:t xml:space="preserve">Green Valley Residents' Welfare Association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93343d6bd34ed960b5a8bf24dad705e22359c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2026-08-16T22:06:21.409Z</dcterms:created>
  <dcterms:modified xsi:type="dcterms:W3CDTF">2026-08-16T22:06:21.410Z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