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aps/>
          <w:color w:val="00C896"/>
          <w:sz w:val="72"/>
          <w:szCs w:val="72"/>
        </w:rPr>
        <w:t xml:space="preserve">EDGESYNC MARKETS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111827"/>
          <w:sz w:val="36"/>
          <w:szCs w:val="36"/>
        </w:rPr>
        <w:t xml:space="preserve">Technical Documentation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Version 1.0  ·  June 2026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aps/>
          <w:color w:val="6B7280"/>
          <w:sz w:val="18"/>
          <w:szCs w:val="18"/>
        </w:rPr>
        <w:t xml:space="preserve">CONFIDENTIAL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This document is intended for developers, technical partners, and investors.</w:t>
      </w:r>
    </w:p>
    <w:p>
      <w:pPr>
        <w:pageBreakBefore/>
      </w:pPr>
      <w:r>
        <w:br/>
        <w:t xml:space="preserve"/>
      </w:r>
    </w:p>
    <w:p>
      <w:pPr>
        <w:pStyle w:val="Heading1"/>
        <w:pStyle w:val="h1"/>
        <w:pBdr>
          <w:bottom w:val="single" w:color="00C896" w:sz="8" w:space="6"/>
        </w:pBdr>
        <w:spacing w:after="160" w:before="480"/>
        <w:rPr>
          <w:rFonts w:ascii="Calibri" w:cs="Calibri" w:eastAsia="Calibri" w:hAnsi="Calibri"/>
          <w:b/>
          <w:bCs/>
          <w:color w:val="00C896"/>
          <w:sz w:val="32"/>
          <w:szCs w:val="32"/>
        </w:rPr>
      </w:pPr>
      <w:r>
        <w:t xml:space="preserve">1. Platform Overview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374151"/>
          <w:sz w:val="20"/>
          <w:szCs w:val="20"/>
        </w:rPr>
        <w:t xml:space="preserve">EdgeSync Markets is a forex copy trading platform built for the East African market. The platform allows retail investors to automatically mirror the live trades of a professional trader (AmiinFx) without requiring any manual intervention.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Core User Journey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User registers and completes identity verification (KYC).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User deposits funds via USDT TRC20 using the NOWPayments integration.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User enables copy trading, linking their account to AmiinFx's master strategy.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Trades placed by AmiinFx are applied proportionally to each user's account balance.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Profit and loss are reflected in real time on the user's dashboard.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Once the configured profit target is reached, the user may request a USDT TRC20 withdrawal.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Key Constraints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Deposits are accepted exclusively in USDT on the TRC20 network.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Withdrawals are locked until the user's copy trading profit reaches the administrator-configured target percentage.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All balance arithmetic is performed server-side via Postgres triggers to ensure consistency.</w:t>
      </w:r>
    </w:p>
    <w:p>
      <w:pPr>
        <w:pStyle w:val="Heading1"/>
        <w:pStyle w:val="h1"/>
        <w:pBdr>
          <w:bottom w:val="single" w:color="00C896" w:sz="8" w:space="6"/>
        </w:pBdr>
        <w:spacing w:after="160" w:before="480"/>
        <w:rPr>
          <w:rFonts w:ascii="Calibri" w:cs="Calibri" w:eastAsia="Calibri" w:hAnsi="Calibri"/>
          <w:b/>
          <w:bCs/>
          <w:color w:val="00C896"/>
          <w:sz w:val="32"/>
          <w:szCs w:val="32"/>
        </w:rPr>
      </w:pPr>
      <w:r>
        <w:t xml:space="preserve">2. Technology Stack</w:t>
      </w:r>
    </w:p>
    <w:tbl>
      <w:tblPr>
        <w:tblW w:type="pct" w:w="100%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pct" w:w="7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 &amp; Rationale</w:t>
            </w:r>
          </w:p>
        </w:tc>
      </w:tr>
      <w:tr>
        <w:tc>
          <w:tcPr>
            <w:tcW w:type="pct" w:w="28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Next.js 16 (App Router, Turbopack)</w:t>
            </w:r>
          </w:p>
        </w:tc>
        <w:tc>
          <w:tcPr>
            <w:tcW w:type="pct" w:w="7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Full-stack React framework. App Router enables server components, streaming, and server actions. Turbopack replaces Webpack for faster local builds. Chosen for its first-class Vercel integration and edge-ready architecture.</w:t>
            </w:r>
          </w:p>
        </w:tc>
      </w:tr>
      <w:tr>
        <w:tc>
          <w:tcPr>
            <w:tcW w:type="pct" w:w="2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TypeScript</w:t>
            </w:r>
          </w:p>
        </w:tc>
        <w:tc>
          <w:tcPr>
            <w:tcW w:type="pct" w:w="7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Statically typed superset of JavaScript. Provides compile-time safety across the entire codebase — frontend components, API routes, and server actions.</w:t>
            </w:r>
          </w:p>
        </w:tc>
      </w:tr>
      <w:tr>
        <w:tc>
          <w:tcPr>
            <w:tcW w:type="pct" w:w="28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Tailwind CSS v4</w:t>
            </w:r>
          </w:p>
        </w:tc>
        <w:tc>
          <w:tcPr>
            <w:tcW w:type="pct" w:w="7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Utility-first CSS framework. v4 introduces CSS-native variables and a token-based design system. Chosen for zero-runtime overhead and design consistency across components.</w:t>
            </w:r>
          </w:p>
        </w:tc>
      </w:tr>
      <w:tr>
        <w:tc>
          <w:tcPr>
            <w:tcW w:type="pct" w:w="2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shadcn/ui</w:t>
            </w:r>
          </w:p>
        </w:tc>
        <w:tc>
          <w:tcPr>
            <w:tcW w:type="pct" w:w="7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Unstyled, accessible component primitives built on Radix UI. Components are copied into the project (not a black-box library), enabling full customisation without dependency lock-in.</w:t>
            </w:r>
          </w:p>
        </w:tc>
      </w:tr>
      <w:tr>
        <w:tc>
          <w:tcPr>
            <w:tcW w:type="pct" w:w="28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Supabase</w:t>
            </w:r>
          </w:p>
        </w:tc>
        <w:tc>
          <w:tcPr>
            <w:tcW w:type="pct" w:w="7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Backend-as-a-service providing: PostgreSQL database, row-level security (RLS), Auth (email/password + Google OAuth), Realtime subscriptions (WebSocket), and Storage. Eliminates the need for a separately managed backend server.</w:t>
            </w:r>
          </w:p>
        </w:tc>
      </w:tr>
      <w:tr>
        <w:tc>
          <w:tcPr>
            <w:tcW w:type="pct" w:w="2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NOWPayments API</w:t>
            </w:r>
          </w:p>
        </w:tc>
        <w:tc>
          <w:tcPr>
            <w:tcW w:type="pct" w:w="7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Cryptocurrency payment gateway. Used to generate unique USDT TRC20 deposit addresses per transaction and receive webhook confirmations upon payment.</w:t>
            </w:r>
          </w:p>
        </w:tc>
      </w:tr>
      <w:tr>
        <w:tc>
          <w:tcPr>
            <w:tcW w:type="pct" w:w="28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Resend</w:t>
            </w:r>
          </w:p>
        </w:tc>
        <w:tc>
          <w:tcPr>
            <w:tcW w:type="pct" w:w="7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Transactional email provider. Used to send verification emails and system notifications via a Next.js server action.</w:t>
            </w:r>
          </w:p>
        </w:tc>
      </w:tr>
      <w:tr>
        <w:tc>
          <w:tcPr>
            <w:tcW w:type="pct" w:w="2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Vercel</w:t>
            </w:r>
          </w:p>
        </w:tc>
        <w:tc>
          <w:tcPr>
            <w:tcW w:type="pct" w:w="7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Deployment platform. Provides automatic deployments from the main git branch, edge functions, environment variable management, and global CDN.</w:t>
            </w:r>
          </w:p>
        </w:tc>
      </w:tr>
      <w:tr>
        <w:tc>
          <w:tcPr>
            <w:tcW w:type="pct" w:w="28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Playwright</w:t>
            </w:r>
          </w:p>
        </w:tc>
        <w:tc>
          <w:tcPr>
            <w:tcW w:type="pct" w:w="7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End-to-end testing framework. The test suite covers 20 scenarios across auth, deposit, copy trading, dashboard, and admin flows, running against the live Vercel deployment.</w:t>
            </w:r>
          </w:p>
        </w:tc>
      </w:tr>
      <w:tr>
        <w:tc>
          <w:tcPr>
            <w:tcW w:type="pct" w:w="2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TradingView Widget</w:t>
            </w:r>
          </w:p>
        </w:tc>
        <w:tc>
          <w:tcPr>
            <w:tcW w:type="pct" w:w="7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Embedded charting library. Renders live forex price charts on the dashboard using TradingView's lightweight widget embed.</w:t>
            </w:r>
          </w:p>
        </w:tc>
      </w:tr>
    </w:tbl>
    <w:p>
      <w:pPr>
        <w:pStyle w:val="Heading1"/>
        <w:pStyle w:val="h1"/>
        <w:pBdr>
          <w:bottom w:val="single" w:color="00C896" w:sz="8" w:space="6"/>
        </w:pBdr>
        <w:spacing w:after="160" w:before="480"/>
        <w:rPr>
          <w:rFonts w:ascii="Calibri" w:cs="Calibri" w:eastAsia="Calibri" w:hAnsi="Calibri"/>
          <w:b/>
          <w:bCs/>
          <w:color w:val="00C896"/>
          <w:sz w:val="32"/>
          <w:szCs w:val="32"/>
        </w:rPr>
      </w:pPr>
      <w:r>
        <w:t xml:space="preserve">3. System Architecture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374151"/>
          <w:sz w:val="20"/>
          <w:szCs w:val="20"/>
        </w:rPr>
        <w:t xml:space="preserve">The platform follows a serverless, event-driven architecture. There is no long-running application server; all backend logic executes as Next.js server actions, API routes, or Postgres triggers.</w:t>
      </w:r>
    </w:p>
    <w:p>
      <w:pPr>
        <w:spacing w:after="8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3.1 Request Flow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Browser sends a request to the Next.js App Router (hosted on Vercel).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Server components fetch data directly from Supabase using the server-side client (service role).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Client components receive hydrated props and open a Supabase Realtime WebSocket subscription for live updates.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User-initiated mutations (e.g. withdrawal request) call a Next.js server action, which validates auth and writes to Supabase.</w:t>
      </w:r>
    </w:p>
    <w:p>
      <w:pPr>
        <w:spacing w:after="8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3.2 Payment Webhook Flow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User submits a deposit amount on the /dashboard/deposit page.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The /api/create-payment route calls the NOWPayments API and returns a unique USDT TRC20 wallet address.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User sends USDT to the returned address.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NOWPayments calls the /api/nowpayments-webhook endpoint when payment is detected.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The webhook handler verifies the HMAC-SHA512 signature against NOWPAYMENTS_IPN_SECRET.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6.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On successful verification, the handler writes an approved deposit record to the deposits table.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7.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 Postgres trigger fires on insert and credits the amount to profiles.balance.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8.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The Realtime subscription on the client receives the balance update and re-renders the dashboard.</w:t>
      </w:r>
    </w:p>
    <w:p>
      <w:pPr>
        <w:spacing w:after="8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3.3 P&amp;L Engine Flow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Admin navigates to /admin/trades and creates or updates a trade record in master_trades.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 Postgres trigger (trg_apply_trade) fires after insert/update on master_trades.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The trigger queries all users who have copy trading enabled (user_copy_trading.is_copying = true).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For each user, the trigger calculates the new balance by applying the trade's pnl_percentage to the running balance, compounding from the original deposit baseline.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profiles.balance is updated atomically inside the trigger transaction.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6.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Supabase Realtime broadcasts the row update to any subscribed dashboard clients.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7.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The dashboard re-renders with the updated balance and P&amp;L figures.</w:t>
      </w:r>
    </w:p>
    <w:p>
      <w:pPr>
        <w:spacing w:after="8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3.4 Component Dependency Map</w:t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Browser Client</w:t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├── Next.js App Router (Vercel Edge)</w:t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│     ├── Server Components → Supabase (server client)</w:t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│     ├── Server Actions   → Supabase (service role)</w:t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│     └── API Routes       → NOWPayments API</w:t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└── Supabase JS Client</w:t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├── Auth (email/Google OAuth)</w:t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├── Database (RLS-enforced queries)</w:t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└── Realtime (WebSocket subscriptions)</w:t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Supabase (PostgreSQL)</w:t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├── Row-Level Security policies</w:t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├── Postgres Triggers (P&amp;L engine, deposit crediting)</w:t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└── Realtime publication</w:t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External Services</w:t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├── NOWPayments (payment creation + IPN webhook)</w:t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└── Resend (transactional email)</w:t>
      </w:r>
    </w:p>
    <w:p>
      <w:pPr>
        <w:pStyle w:val="Heading1"/>
        <w:pStyle w:val="h1"/>
        <w:pBdr>
          <w:bottom w:val="single" w:color="00C896" w:sz="8" w:space="6"/>
        </w:pBdr>
        <w:spacing w:after="160" w:before="480"/>
        <w:rPr>
          <w:rFonts w:ascii="Calibri" w:cs="Calibri" w:eastAsia="Calibri" w:hAnsi="Calibri"/>
          <w:b/>
          <w:bCs/>
          <w:color w:val="00C896"/>
          <w:sz w:val="32"/>
          <w:szCs w:val="32"/>
        </w:rPr>
      </w:pPr>
      <w:r>
        <w:t xml:space="preserve">4. Database Schema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374151"/>
          <w:sz w:val="20"/>
          <w:szCs w:val="20"/>
        </w:rPr>
        <w:t xml:space="preserve">All tables reside in the public schema of a Supabase-managed PostgreSQL instance. Row-level security is enabled on every table.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profiles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One row per authenticated user. Stores the live balance and account metadata.</w:t>
      </w:r>
    </w:p>
    <w:p>
      <w:pPr>
        <w:spacing w:after="80" w:before="0"/>
      </w:pPr>
      <w:r>
        <w:t xml:space="preserve"/>
      </w:r>
    </w:p>
    <w:tbl>
      <w:tblPr>
        <w:tblW w:type="pct" w:w="100%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1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1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4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Primary key. References auth.users(id).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User's email address.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full_name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Display name.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balance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numeric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Current account balance in USD. Default 0.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kyc_status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Enum: pending | approved | rejected. Default pending.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Row creation timestamp.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user_roles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Maps users to application roles for RBAC.</w:t>
      </w:r>
    </w:p>
    <w:p>
      <w:pPr>
        <w:spacing w:after="80" w:before="0"/>
      </w:pPr>
      <w:r>
        <w:t xml:space="preserve"/>
      </w:r>
    </w:p>
    <w:tbl>
      <w:tblPr>
        <w:tblW w:type="pct" w:w="100%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1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1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4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References profiles(id).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role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Enum: user | admin.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Row creation timestamp.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traders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Master trader profiles. Currently one row for AmiinFx.</w:t>
      </w:r>
    </w:p>
    <w:p>
      <w:pPr>
        <w:spacing w:after="80" w:before="0"/>
      </w:pPr>
      <w:r>
        <w:t xml:space="preserve"/>
      </w:r>
    </w:p>
    <w:tbl>
      <w:tblPr>
        <w:tblW w:type="pct" w:w="100%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1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1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4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Trader display name.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Bio or strategy description.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avatar_url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Profile image URL.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win_rate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numeric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Historical win rate percentage.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total_return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numeric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Cumulative return percentage.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is_active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Whether the trader is available to copy.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Row creation timestamp.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user_copy_trading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Tracks which users are actively copying which traders.</w:t>
      </w:r>
    </w:p>
    <w:p>
      <w:pPr>
        <w:spacing w:after="80" w:before="0"/>
      </w:pPr>
      <w:r>
        <w:t xml:space="preserve"/>
      </w:r>
    </w:p>
    <w:tbl>
      <w:tblPr>
        <w:tblW w:type="pct" w:w="100%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1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1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4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References profiles(id).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trader_id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References traders(id).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is_copying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Whether the subscription is active.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started_at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When copying began.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original_deposit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numeric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Balance at time copy trading was enabled. Used as the compounding baseline.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master_trades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Trade records entered by the admin. Each row triggers the P&amp;L engine.</w:t>
      </w:r>
    </w:p>
    <w:p>
      <w:pPr>
        <w:spacing w:after="80" w:before="0"/>
      </w:pPr>
      <w:r>
        <w:t xml:space="preserve"/>
      </w:r>
    </w:p>
    <w:tbl>
      <w:tblPr>
        <w:tblW w:type="pct" w:w="100%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1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1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4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trader_id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References traders(id).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symbol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Forex pair (e.g. EURUSD).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direction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Enum: BUY | SELL.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pnl_percentage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numeric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Percentage gain or loss to apply (e.g. 2.5 = +2.5%).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opened_at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Trade open timestamp.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closed_at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Trade close timestamp. Trigger fires on update when set.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Optional admin commentary.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Row creation timestamp.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platform_settings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Key-value store for administrator-configurable platform parameters.</w:t>
      </w:r>
    </w:p>
    <w:p>
      <w:pPr>
        <w:spacing w:after="80" w:before="0"/>
      </w:pPr>
      <w:r>
        <w:t xml:space="preserve"/>
      </w:r>
    </w:p>
    <w:tbl>
      <w:tblPr>
        <w:tblW w:type="pct" w:w="100%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1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1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4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key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Setting identifier (e.g. profit_target_percentage).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value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Setting value (stored as text; parsed at runtime).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Last modification timestamp.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deposits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Records every deposit attempt and its approval status.</w:t>
      </w:r>
    </w:p>
    <w:p>
      <w:pPr>
        <w:spacing w:after="80" w:before="0"/>
      </w:pPr>
      <w:r>
        <w:t xml:space="preserve"/>
      </w:r>
    </w:p>
    <w:tbl>
      <w:tblPr>
        <w:tblW w:type="pct" w:w="100%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1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1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4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References profiles(id).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amount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numeric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Deposit amount in USD.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currency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Crypto currency code (e.g. USDTTRC20).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Enum: pending | approved | rejected.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payment_id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NOWPayments payment identifier.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pay_address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USDT TRC20 wallet address issued for this deposit.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Row creation timestamp.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withdrawals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Withdrawal requests submitted by users.</w:t>
      </w:r>
    </w:p>
    <w:p>
      <w:pPr>
        <w:spacing w:after="80" w:before="0"/>
      </w:pPr>
      <w:r>
        <w:t xml:space="preserve"/>
      </w:r>
    </w:p>
    <w:tbl>
      <w:tblPr>
        <w:tblW w:type="pct" w:w="100%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1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1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4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References profiles(id).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amount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numeric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Requested withdrawal amount in USD.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wallet_address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User-provided USDT TRC20 destination address.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Enum: pending | approved | rejected. Default pending.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Row creation timestamp.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notifications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In-app notification records.</w:t>
      </w:r>
    </w:p>
    <w:p>
      <w:pPr>
        <w:spacing w:after="80" w:before="0"/>
      </w:pPr>
      <w:r>
        <w:t xml:space="preserve"/>
      </w:r>
    </w:p>
    <w:tbl>
      <w:tblPr>
        <w:tblW w:type="pct" w:w="100%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1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1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4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References profiles(id).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title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Short notification heading.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message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Full notification body.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is_read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Whether the user has read the notification. Default false.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Row creation timestamp.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support_conversations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Support ticket threads.</w:t>
      </w:r>
    </w:p>
    <w:p>
      <w:pPr>
        <w:spacing w:after="80" w:before="0"/>
      </w:pPr>
      <w:r>
        <w:t xml:space="preserve"/>
      </w:r>
    </w:p>
    <w:tbl>
      <w:tblPr>
        <w:tblW w:type="pct" w:w="100%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1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1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4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References profiles(id).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subject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Ticket subject line.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Enum: open | closed.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Row creation timestamp.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support_messages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Individual messages within a support conversation.</w:t>
      </w:r>
    </w:p>
    <w:p>
      <w:pPr>
        <w:spacing w:after="80" w:before="0"/>
      </w:pPr>
      <w:r>
        <w:t xml:space="preserve"/>
      </w:r>
    </w:p>
    <w:tbl>
      <w:tblPr>
        <w:tblW w:type="pct" w:w="100%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1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1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4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conversation_id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References support_conversations(id).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sender_id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References profiles(id).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body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Message content.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is_admin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True if the sender is an admin.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Row creation timestamp.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kyc_submissions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KYC document uploads and review status.</w:t>
      </w:r>
    </w:p>
    <w:p>
      <w:pPr>
        <w:spacing w:after="80" w:before="0"/>
      </w:pPr>
      <w:r>
        <w:t xml:space="preserve"/>
      </w:r>
    </w:p>
    <w:tbl>
      <w:tblPr>
        <w:tblW w:type="pct" w:w="100%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1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1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4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References profiles(id).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document_type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Enum: passport | national_id | drivers_license.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front_url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Storage URL for the front document image.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back_url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Storage URL for the back document image (where applicable).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selfie_url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Storage URL for the user's selfie.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Enum: pending | approved | rejected. Default pending.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reviewer_notes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Admin feedback on the submission.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Row creation timestamp.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marketing_accounts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External marketing partner accounts tracked for attribution.</w:t>
      </w:r>
    </w:p>
    <w:p>
      <w:pPr>
        <w:spacing w:after="80" w:before="0"/>
      </w:pPr>
      <w:r>
        <w:t xml:space="preserve"/>
      </w:r>
    </w:p>
    <w:tbl>
      <w:tblPr>
        <w:tblW w:type="pct" w:w="100%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1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12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pct" w:w="48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Partner or campaign name.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referral_code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Unique code used in referral URLs.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commission_rate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numeric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Commission percentage for attributed deposits.</w:t>
            </w:r>
          </w:p>
        </w:tc>
      </w:tr>
      <w:tr>
        <w:tc>
          <w:tcPr>
            <w:tcW w:type="pct" w:w="22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is_active</w:t>
            </w:r>
          </w:p>
        </w:tc>
        <w:tc>
          <w:tcPr>
            <w:tcW w:type="pct" w:w="1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pct" w:w="12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Whether the account is active.</w:t>
            </w:r>
          </w:p>
        </w:tc>
      </w:tr>
      <w:tr>
        <w:tc>
          <w:tcPr>
            <w:tcW w:type="pct" w:w="2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pct" w:w="1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pct" w:w="12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pct" w:w="48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Row creation timestamp.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Style w:val="h1"/>
        <w:pBdr>
          <w:bottom w:val="single" w:color="00C896" w:sz="8" w:space="6"/>
        </w:pBdr>
        <w:spacing w:after="160" w:before="480"/>
        <w:rPr>
          <w:rFonts w:ascii="Calibri" w:cs="Calibri" w:eastAsia="Calibri" w:hAnsi="Calibri"/>
          <w:b/>
          <w:bCs/>
          <w:color w:val="00C896"/>
          <w:sz w:val="32"/>
          <w:szCs w:val="32"/>
        </w:rPr>
      </w:pPr>
      <w:r>
        <w:t xml:space="preserve">5. Authentication &amp; Security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5.1 Authentication Methods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Email/password authentication managed by Supabase Auth.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Google OAuth 2.0 via Supabase's social provider integration.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Sessions are persisted via HTTP-only cookies on the server and managed by @supabase/ssr.</w:t>
      </w:r>
    </w:p>
    <w:p>
      <w:pPr>
        <w:spacing w:after="8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5.2 Role-Based Access Control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374151"/>
          <w:sz w:val="20"/>
          <w:szCs w:val="20"/>
        </w:rPr>
        <w:t xml:space="preserve">All users are assigned a role in the user_roles table (user or admin). Role resolution happens server-side: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auth.getUser() retrieves the authenticated user from the Supabase session.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 follow-up query to user_roles confirms the role before any privileged operation proceeds.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Admin-only routes are protected at the middleware level via proxy.ts, which redirects unauthenticated or insufficient-role requests.</w:t>
      </w:r>
    </w:p>
    <w:p>
      <w:pPr>
        <w:spacing w:after="8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5.3 Server-Side Route Protection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374151"/>
          <w:sz w:val="20"/>
          <w:szCs w:val="20"/>
        </w:rPr>
        <w:t xml:space="preserve">Next.js middleware (proxy.ts) intercepts every request before rendering: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Unauthenticated users accessing /dashboard/* or /admin/* are redirected to /login.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Authenticated non-admin users accessing /admin/* receive a 403 redirect.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The middleware uses the Supabase server client to validate the session cookie server-side on every request.</w:t>
      </w:r>
    </w:p>
    <w:p>
      <w:pPr>
        <w:spacing w:after="8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5.4 Admin Server Actions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374151"/>
          <w:sz w:val="20"/>
          <w:szCs w:val="20"/>
        </w:rPr>
        <w:t xml:space="preserve">All server actions in the /admin namespace explicitly call auth.getUser() and verify the user's role before executing. If either check fails, the action throws an unauthorised error and performs no mutation.</w:t>
      </w:r>
    </w:p>
    <w:p>
      <w:pPr>
        <w:spacing w:after="8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5.5 Withdrawal Lock Logic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374151"/>
          <w:sz w:val="20"/>
          <w:szCs w:val="20"/>
        </w:rPr>
        <w:t xml:space="preserve">Withdrawals are gated by the following server-side checks, evaluated in order: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User must have at least one approved deposit (deposits table, status = 'approved').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If the user has copy trading enabled, the server calculates current profit as: ((current_balance − original_deposit) / original_deposit) × 100.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The calculated profit must be greater than or equal to the profit_target_percentage setting in platform_settings.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Only if all checks pass does the withdrawal form render and accept submissions.</w:t>
      </w:r>
    </w:p>
    <w:p>
      <w:pPr>
        <w:spacing w:after="8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5.6 NOWPayments Webhook Verification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374151"/>
          <w:sz w:val="20"/>
          <w:szCs w:val="20"/>
        </w:rPr>
        <w:t xml:space="preserve">Every incoming IPN (Instant Payment Notification) from NOWPayments is verified before processing: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The raw request body is read as a buffer.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An HMAC-SHA512 digest is computed using NOWPAYMENTS_IPN_SECRET as the key.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The computed digest is compared to the x-nowpayments-sig request header using a constant-time comparison to prevent timing attacks.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Requests with invalid signatures are rejected with HTTP 401.</w:t>
      </w:r>
    </w:p>
    <w:p>
      <w:pPr>
        <w:pStyle w:val="Heading1"/>
        <w:pStyle w:val="h1"/>
        <w:pBdr>
          <w:bottom w:val="single" w:color="00C896" w:sz="8" w:space="6"/>
        </w:pBdr>
        <w:spacing w:after="160" w:before="480"/>
        <w:rPr>
          <w:rFonts w:ascii="Calibri" w:cs="Calibri" w:eastAsia="Calibri" w:hAnsi="Calibri"/>
          <w:b/>
          <w:bCs/>
          <w:color w:val="00C896"/>
          <w:sz w:val="32"/>
          <w:szCs w:val="32"/>
        </w:rPr>
      </w:pPr>
      <w:r>
        <w:t xml:space="preserve">6. Payment Flow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374151"/>
          <w:sz w:val="20"/>
          <w:szCs w:val="20"/>
        </w:rPr>
        <w:t xml:space="preserve">All deposits are processed exclusively in USDT on the TRC20 network via the NOWPayments API.</w:t>
      </w:r>
    </w:p>
    <w:p>
      <w:pPr>
        <w:spacing w:after="8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6.1 Deposit Flow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User navigates to /dashboard/deposit and enters a USD amount (minimum $20).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The browser calls the Next.js API route /api/create-payment with the amount.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The server calls the NOWPayments /v1/payment endpoint, specifying USDTTRC20 as the pay_currency.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NOWPayments returns a unique pay_address (USDT TRC20 wallet) and a pay_amount (USDT equivalent).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The server writes a pending deposit record to the deposits table and returns the address to the client.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6.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The client displays the address and QR code. A poller calls /api/payment-status every 10 seconds to check payment_status.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7.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The user sends USDT to the displayed address from their own wallet.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8.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NOWPayments detects the on-chain transaction and sends an IPN to /api/nowpayments-webhook.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9.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The webhook handler verifies the HMAC signature, then updates the deposit record status to 'approved'.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10.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 Postgres trigger (trg_credit_deposit) fires on status update and adds the deposit amount to profiles.balance.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11.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The Realtime subscription on the dashboard receives the balance change and re-renders.</w:t>
      </w:r>
    </w:p>
    <w:p>
      <w:pPr>
        <w:spacing w:after="8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6.2 NOWPayments Endpoints Used</w:t>
      </w:r>
    </w:p>
    <w:tbl>
      <w:tblPr>
        <w:tblW w:type="pct" w:w="100%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pct" w:w="40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50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10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pct" w:w="40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/v1/payment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Create a new payment and obtain a unique deposit address.</w:t>
            </w:r>
          </w:p>
        </w:tc>
      </w:tr>
      <w:tr>
        <w:tc>
          <w:tcPr>
            <w:tcW w:type="pct" w:w="10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pct" w:w="40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/v1/payment/{payment_id}</w:t>
            </w:r>
          </w:p>
        </w:tc>
        <w:tc>
          <w:tcPr>
            <w:tcW w:type="pct" w:w="50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Poll payment status (used by /api/payment-status).</w:t>
            </w:r>
          </w:p>
        </w:tc>
      </w:tr>
      <w:tr>
        <w:tc>
          <w:tcPr>
            <w:tcW w:type="pct" w:w="10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pct" w:w="40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/api/nowpayments-webhook (inbound)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Receive IPN from NOWPayments on payment status change.</w:t>
            </w:r>
          </w:p>
        </w:tc>
      </w:tr>
    </w:tbl>
    <w:p>
      <w:pPr>
        <w:pStyle w:val="Heading1"/>
        <w:pStyle w:val="h1"/>
        <w:pBdr>
          <w:bottom w:val="single" w:color="00C896" w:sz="8" w:space="6"/>
        </w:pBdr>
        <w:spacing w:after="160" w:before="480"/>
        <w:rPr>
          <w:rFonts w:ascii="Calibri" w:cs="Calibri" w:eastAsia="Calibri" w:hAnsi="Calibri"/>
          <w:b/>
          <w:bCs/>
          <w:color w:val="00C896"/>
          <w:sz w:val="32"/>
          <w:szCs w:val="32"/>
        </w:rPr>
      </w:pPr>
      <w:r>
        <w:t xml:space="preserve">7. P&amp;L Engine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7.1 Compounding Mechanism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374151"/>
          <w:sz w:val="20"/>
          <w:szCs w:val="20"/>
        </w:rPr>
        <w:t xml:space="preserve">Profit and loss is applied using a sequential compounding model. The baseline for each user is the balance recorded in user_copy_trading.original_deposit at the time they enabled copy trading.</w:t>
      </w:r>
    </w:p>
    <w:p>
      <w:pPr>
        <w:spacing w:after="80" w:before="0"/>
      </w:pPr>
      <w:r>
        <w:t xml:space="preserv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374151"/>
          <w:sz w:val="20"/>
          <w:szCs w:val="20"/>
        </w:rPr>
        <w:t xml:space="preserve">For each trade record:</w:t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new_balance = running_balance × (1 + pnl_percentage / 100)</w:t>
      </w:r>
    </w:p>
    <w:p>
      <w:pPr>
        <w:spacing w:after="80" w:before="0"/>
      </w:pPr>
      <w:r>
        <w:t xml:space="preserv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374151"/>
          <w:sz w:val="20"/>
          <w:szCs w:val="20"/>
        </w:rPr>
        <w:t xml:space="preserve">Trades are applied in chronological order (ordered by opened_at). The result of each trade becomes the running_balance for the next.</w:t>
      </w:r>
    </w:p>
    <w:p>
      <w:pPr>
        <w:spacing w:after="8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7.2 Trigger Execution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374151"/>
          <w:sz w:val="20"/>
          <w:szCs w:val="20"/>
        </w:rPr>
        <w:t xml:space="preserve">The Postgres function trg_apply_trade executes after insert or update on master_trades. Its logic: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Select all user IDs where user_copy_trading.is_copying = true and trader_id matches.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For each user, select all master_trades for the trader ordered by opened_at ascending.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Starting from original_deposit, iterate through trades and apply each pnl_percentage.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Write the final computed balance to profiles.balance using a single UPDATE statement per user.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The trigger runs within the same transaction as the admin's trade insert/update.</w:t>
      </w:r>
    </w:p>
    <w:p>
      <w:pPr>
        <w:spacing w:after="8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7.3 Realtime Propagation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374151"/>
          <w:sz w:val="20"/>
          <w:szCs w:val="20"/>
        </w:rPr>
        <w:t xml:space="preserve">Supabase Realtime is configured to publish changes to the profiles table. Dashboard clients subscribe using:</w:t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supabase</w:t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.channel('balance-updates')</w:t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.on('postgres_changes', {</w:t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event: 'UPDATE',</w:t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schema: 'public',</w:t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table: 'profiles',</w:t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filter: `id=eq.${userId}`,</w:t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}, handler)</w:t>
      </w:r>
    </w:p>
    <w:p>
      <w:pPr>
        <w:shd w:fill="F3F4F6" w:color="F3F4F6" w:val="solid"/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.subscribe();</w:t>
      </w:r>
    </w:p>
    <w:p>
      <w:pPr>
        <w:spacing w:after="80" w:before="0"/>
      </w:pPr>
      <w:r>
        <w:t xml:space="preserv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374151"/>
          <w:sz w:val="20"/>
          <w:szCs w:val="20"/>
        </w:rPr>
        <w:t xml:space="preserve">On receipt of the update event, the dashboard re-fetches the user's balance and recalculates P&amp;L display figures without a full page reload.</w:t>
      </w:r>
    </w:p>
    <w:p>
      <w:pPr>
        <w:pStyle w:val="Heading1"/>
        <w:pStyle w:val="h1"/>
        <w:pBdr>
          <w:bottom w:val="single" w:color="00C896" w:sz="8" w:space="6"/>
        </w:pBdr>
        <w:spacing w:after="160" w:before="480"/>
        <w:rPr>
          <w:rFonts w:ascii="Calibri" w:cs="Calibri" w:eastAsia="Calibri" w:hAnsi="Calibri"/>
          <w:b/>
          <w:bCs/>
          <w:color w:val="00C896"/>
          <w:sz w:val="32"/>
          <w:szCs w:val="32"/>
        </w:rPr>
      </w:pPr>
      <w:r>
        <w:t xml:space="preserve">8. Deployment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8.1 Infrastructure</w:t>
      </w:r>
    </w:p>
    <w:tbl>
      <w:tblPr>
        <w:tblW w:type="pct" w:w="100%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pct" w:w="20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pct" w:w="55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Frontend / API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Vercel</w:t>
            </w:r>
          </w:p>
        </w:tc>
        <w:tc>
          <w:tcPr>
            <w:tcW w:type="pct" w:w="55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Hobby plan. Automatic deployments triggered on every push to the main branch of the GitHub repository.</w:t>
            </w:r>
          </w:p>
        </w:tc>
      </w:tr>
      <w:tr>
        <w:tc>
          <w:tcPr>
            <w:tcW w:type="pct" w:w="25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Database / Auth</w:t>
            </w:r>
          </w:p>
        </w:tc>
        <w:tc>
          <w:tcPr>
            <w:tcW w:type="pct" w:w="20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Supabase</w:t>
            </w:r>
          </w:p>
        </w:tc>
        <w:tc>
          <w:tcPr>
            <w:tcW w:type="pct" w:w="55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Managed PostgreSQL with built-in Auth, Realtime, and Storage.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Payments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NOWPayments</w:t>
            </w:r>
          </w:p>
        </w:tc>
        <w:tc>
          <w:tcPr>
            <w:tcW w:type="pct" w:w="55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SaaS crypto payment gateway. No self-hosted components.</w:t>
            </w:r>
          </w:p>
        </w:tc>
      </w:tr>
      <w:tr>
        <w:tc>
          <w:tcPr>
            <w:tcW w:type="pct" w:w="25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pct" w:w="20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Resend</w:t>
            </w:r>
          </w:p>
        </w:tc>
        <w:tc>
          <w:tcPr>
            <w:tcW w:type="pct" w:w="55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Transactional email API. No self-hosted SMTP.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Source Control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GitHub</w:t>
            </w:r>
          </w:p>
        </w:tc>
        <w:tc>
          <w:tcPr>
            <w:tcW w:type="pct" w:w="55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Private repository. Branch: main.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8.2 Deployment Process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Developer pushes commits to origin/main.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Vercel detects the push via GitHub webhook and starts a build.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Vercel runs next build with Turbopack and validates the output.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On successful build, the deployment is promoted to production and the previous deployment is retained as a rollback target.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C896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Environment variables are injected at build time from the Vercel project settings.</w:t>
      </w:r>
    </w:p>
    <w:p>
      <w:pPr>
        <w:pStyle w:val="Heading1"/>
        <w:pStyle w:val="h1"/>
        <w:pBdr>
          <w:bottom w:val="single" w:color="00C896" w:sz="8" w:space="6"/>
        </w:pBdr>
        <w:spacing w:after="160" w:before="480"/>
        <w:rPr>
          <w:rFonts w:ascii="Calibri" w:cs="Calibri" w:eastAsia="Calibri" w:hAnsi="Calibri"/>
          <w:b/>
          <w:bCs/>
          <w:color w:val="00C896"/>
          <w:sz w:val="32"/>
          <w:szCs w:val="32"/>
        </w:rPr>
      </w:pPr>
      <w:r>
        <w:t xml:space="preserve">9. Testing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9.1 Test Suite Overview</w:t>
      </w:r>
    </w:p>
    <w:tbl>
      <w:tblPr>
        <w:tblW w:type="pct" w:w="100%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pct" w:w="10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pct" w:w="65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Authentication</w:t>
            </w:r>
          </w:p>
        </w:tc>
        <w:tc>
          <w:tcPr>
            <w:tcW w:type="pct" w:w="10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pct" w:w="65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Register, login, logout, Google OAuth redirect.</w:t>
            </w:r>
          </w:p>
        </w:tc>
      </w:tr>
      <w:tr>
        <w:tc>
          <w:tcPr>
            <w:tcW w:type="pct" w:w="25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Deposit flow</w:t>
            </w:r>
          </w:p>
        </w:tc>
        <w:tc>
          <w:tcPr>
            <w:tcW w:type="pct" w:w="10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pct" w:w="65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Amount validation, payment address generation, status polling.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Copy trading</w:t>
            </w:r>
          </w:p>
        </w:tc>
        <w:tc>
          <w:tcPr>
            <w:tcW w:type="pct" w:w="10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pct" w:w="65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Enable/disable copying, profit display, withdrawal lock gate.</w:t>
            </w:r>
          </w:p>
        </w:tc>
      </w:tr>
      <w:tr>
        <w:tc>
          <w:tcPr>
            <w:tcW w:type="pct" w:w="25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Dashboard</w:t>
            </w:r>
          </w:p>
        </w:tc>
        <w:tc>
          <w:tcPr>
            <w:tcW w:type="pct" w:w="10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pct" w:w="65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Balance display, trade history, notifications, P&amp;L chart.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Admin panel</w:t>
            </w:r>
          </w:p>
        </w:tc>
        <w:tc>
          <w:tcPr>
            <w:tcW w:type="pct" w:w="10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pct" w:w="65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Trade creation, deposit approval, user management, KYC review.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9.2 Execution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Framework: Playwright with @playwright/test.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Tests run against the live Vercel production deployment (base URL configured via environment variable).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No mocking — tests exercise the full stack including Supabase and NOWPayments sandbox.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Run command: npx playwright test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HTML report generated at: playwright-report/index.html</w:t>
      </w:r>
    </w:p>
    <w:p>
      <w:pPr>
        <w:pStyle w:val="Heading1"/>
        <w:pStyle w:val="h1"/>
        <w:pBdr>
          <w:bottom w:val="single" w:color="00C896" w:sz="8" w:space="6"/>
        </w:pBdr>
        <w:spacing w:after="160" w:before="480"/>
        <w:rPr>
          <w:rFonts w:ascii="Calibri" w:cs="Calibri" w:eastAsia="Calibri" w:hAnsi="Calibri"/>
          <w:b/>
          <w:bCs/>
          <w:color w:val="00C896"/>
          <w:sz w:val="32"/>
          <w:szCs w:val="32"/>
        </w:rPr>
      </w:pPr>
      <w:r>
        <w:t xml:space="preserve">10. Environment Variables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i w:val="false"/>
          <w:iCs w:val="false"/>
          <w:color w:val="374151"/>
          <w:sz w:val="20"/>
          <w:szCs w:val="20"/>
        </w:rPr>
        <w:t xml:space="preserve">All variables are set in Vercel project settings and are never committed to the repository. Local development uses a .env.local file (git-ignored).</w:t>
      </w:r>
    </w:p>
    <w:p>
      <w:pPr>
        <w:spacing w:after="80" w:before="0"/>
      </w:pPr>
      <w:r>
        <w:t xml:space="preserve"/>
      </w:r>
    </w:p>
    <w:tbl>
      <w:tblPr>
        <w:tblW w:type="pct" w:w="100%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pct" w:w="60%"/>
            <w:shd w:fill="00C896" w:color="00C896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40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pct" w:w="60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Supabase project URL. Exposed to the browser.</w:t>
            </w:r>
          </w:p>
        </w:tc>
      </w:tr>
      <w:tr>
        <w:tc>
          <w:tcPr>
            <w:tcW w:type="pct" w:w="40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pct" w:w="60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Supabase anonymous (public) key. Exposed to the browser.</w:t>
            </w:r>
          </w:p>
        </w:tc>
      </w:tr>
      <w:tr>
        <w:tc>
          <w:tcPr>
            <w:tcW w:type="pct" w:w="40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pct" w:w="60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Supabase service role key. Server-side only. Bypasses RLS.</w:t>
            </w:r>
          </w:p>
        </w:tc>
      </w:tr>
      <w:tr>
        <w:tc>
          <w:tcPr>
            <w:tcW w:type="pct" w:w="40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NOWPAYMENTS_API_KEY</w:t>
            </w:r>
          </w:p>
        </w:tc>
        <w:tc>
          <w:tcPr>
            <w:tcW w:type="pct" w:w="60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NOWPayments API key for creating payments and querying status.</w:t>
            </w:r>
          </w:p>
        </w:tc>
      </w:tr>
      <w:tr>
        <w:tc>
          <w:tcPr>
            <w:tcW w:type="pct" w:w="40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NOWPAYMENTS_IPN_SECRET</w:t>
            </w:r>
          </w:p>
        </w:tc>
        <w:tc>
          <w:tcPr>
            <w:tcW w:type="pct" w:w="60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Secret used to verify HMAC-SHA512 signatures on IPN webhooks.</w:t>
            </w:r>
          </w:p>
        </w:tc>
      </w:tr>
      <w:tr>
        <w:tc>
          <w:tcPr>
            <w:tcW w:type="pct" w:w="40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RESEND_API_KEY</w:t>
            </w:r>
          </w:p>
        </w:tc>
        <w:tc>
          <w:tcPr>
            <w:tcW w:type="pct" w:w="60%"/>
            <w:shd w:fill="F9FAFB" w:color="F9FAFB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Resend API key for sending transactional emails.</w:t>
            </w:r>
          </w:p>
        </w:tc>
      </w:tr>
      <w:tr>
        <w:tc>
          <w:tcPr>
            <w:tcW w:type="pct" w:w="40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NEXT_PUBLIC_SITE_URL</w:t>
            </w:r>
          </w:p>
        </w:tc>
        <w:tc>
          <w:tcPr>
            <w:tcW w:type="pct" w:w="60%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Canonical site URL (e.g. https://edgesync.vercel.app). Used for OAuth redirects.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All values above must be treated as secrets. Rotate any key immediately if it is exposed in logs, error messages, or source control.</w:t>
      </w:r>
    </w:p>
    <w:sectPr>
      <w:headerReference w:type="default" r:id="rId7"/>
      <w:footerReference w:type="default" r:id="rId8"/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</w:pPr>
    <w:r>
      <w:rPr>
        <w:rFonts w:ascii="Calibri" w:cs="Calibri" w:eastAsia="Calibri" w:hAnsi="Calibri"/>
        <w:color w:val="6B7280"/>
        <w:sz w:val="16"/>
        <w:szCs w:val="16"/>
      </w:rPr>
      <w:t xml:space="preserve">© 2026 EdgeSync Markets · </w:t>
    </w: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</w:pPr>
    <w:r>
      <w:rPr>
        <w:rFonts w:ascii="Calibri" w:cs="Calibri" w:eastAsia="Calibri" w:hAnsi="Calibri"/>
        <w:color w:val="6B7280"/>
        <w:sz w:val="16"/>
        <w:szCs w:val="16"/>
      </w:rPr>
      <w:t xml:space="preserve">EdgeSync Markets — Technical Documentation</w:t>
    </w:r>
    <w:r>
      <w:rPr>
        <w:rFonts w:ascii="Calibri" w:cs="Calibri" w:eastAsia="Calibri" w:hAnsi="Calibri"/>
      </w:rPr>
      <w:t xml:space="preserve">		</w:t>
    </w:r>
    <w:r>
      <w:rPr>
        <w:rFonts w:ascii="Calibri" w:cs="Calibri" w:eastAsia="Calibri" w:hAnsi="Calibri"/>
        <w:caps/>
        <w:color w:val="6B728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1">
    <w:name w:val="Heading 1"/>
    <w:rPr>
      <w:rFonts w:ascii="Calibri" w:cs="Calibri" w:eastAsia="Calibri" w:hAnsi="Calibri"/>
      <w:b/>
      <w:bCs/>
      <w:color w:val="00C89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EdgeSync Markets — Technical Documentation</dc:title>
  <dc:creator>EdgeSync Markets</dc:creator>
  <dc:description>Internal technical reference for developers, technical partners, and investors.</dc:description>
  <cp:lastModifiedBy>Un-named</cp:lastModifiedBy>
  <cp:revision>1</cp:revision>
  <dcterms:created xsi:type="dcterms:W3CDTF">2026-06-06T18:23:21.261Z</dcterms:created>
  <dcterms:modified xsi:type="dcterms:W3CDTF">2026-06-06T18:23:21.262Z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