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Homework Answers</w:t>
      </w:r>
    </w:p>
    <w:p>
      <w:r>
        <w:t>Individual Stock: AAPL (Apple Inc.)</w:t>
      </w:r>
    </w:p>
    <w:p>
      <w:r>
        <w:t>Mutual Fund: VFIAX (Vanguard 500 Index Fund)</w:t>
      </w:r>
    </w:p>
    <w:p>
      <w:r>
        <w:t>Market Index: S&amp;P 500 (^GSPC)</w:t>
      </w:r>
    </w:p>
    <w:p>
      <w:r>
        <w:t>Data Period: 2021/03 - 2026/03 (61 months)</w:t>
      </w:r>
    </w:p>
    <w:p/>
    <w:p>
      <w:pPr>
        <w:pStyle w:val="Heading1"/>
      </w:pPr>
      <w:r>
        <w:t>Chapter 11: Excel Master It! Problem</w:t>
      </w:r>
    </w:p>
    <w:p>
      <w:pPr>
        <w:pStyle w:val="Heading2"/>
      </w:pPr>
      <w:r>
        <w:t>Part a: Market Model Regression</w:t>
      </w:r>
    </w:p>
    <w:p>
      <w:pPr>
        <w:pStyle w:val="IntenseQuote"/>
      </w:pPr>
      <w:r>
        <w:t>Regression Results Summary: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Statistic</w:t>
            </w:r>
          </w:p>
        </w:tc>
        <w:tc>
          <w:tcPr>
            <w:tcW w:type="dxa" w:w="2880"/>
          </w:tcPr>
          <w:p>
            <w:r>
              <w:t>AAPL</w:t>
            </w:r>
          </w:p>
        </w:tc>
        <w:tc>
          <w:tcPr>
            <w:tcW w:type="dxa" w:w="2880"/>
          </w:tcPr>
          <w:p>
            <w:r>
              <w:t>VFIAX</w:t>
            </w:r>
          </w:p>
        </w:tc>
      </w:tr>
      <w:tr>
        <w:tc>
          <w:tcPr>
            <w:tcW w:type="dxa" w:w="2880"/>
          </w:tcPr>
          <w:p>
            <w:r>
              <w:t>Alpha (α)</w:t>
            </w:r>
          </w:p>
        </w:tc>
        <w:tc>
          <w:tcPr>
            <w:tcW w:type="dxa" w:w="2880"/>
          </w:tcPr>
          <w:p>
            <w:r>
              <w:t>0.0040</w:t>
            </w:r>
          </w:p>
        </w:tc>
        <w:tc>
          <w:tcPr>
            <w:tcW w:type="dxa" w:w="2880"/>
          </w:tcPr>
          <w:p>
            <w:r>
              <w:t>0.0009</w:t>
            </w:r>
          </w:p>
        </w:tc>
      </w:tr>
      <w:tr>
        <w:tc>
          <w:tcPr>
            <w:tcW w:type="dxa" w:w="2880"/>
          </w:tcPr>
          <w:p>
            <w:r>
              <w:t>Beta (β)</w:t>
            </w:r>
          </w:p>
        </w:tc>
        <w:tc>
          <w:tcPr>
            <w:tcW w:type="dxa" w:w="2880"/>
          </w:tcPr>
          <w:p>
            <w:r>
              <w:t>1.0676</w:t>
            </w:r>
          </w:p>
        </w:tc>
        <w:tc>
          <w:tcPr>
            <w:tcW w:type="dxa" w:w="2880"/>
          </w:tcPr>
          <w:p>
            <w:r>
              <w:t>0.9866</w:t>
            </w:r>
          </w:p>
        </w:tc>
      </w:tr>
      <w:tr>
        <w:tc>
          <w:tcPr>
            <w:tcW w:type="dxa" w:w="2880"/>
          </w:tcPr>
          <w:p>
            <w:r>
              <w:t>R-squared</w:t>
            </w:r>
          </w:p>
        </w:tc>
        <w:tc>
          <w:tcPr>
            <w:tcW w:type="dxa" w:w="2880"/>
          </w:tcPr>
          <w:p>
            <w:r>
              <w:t>0.4531</w:t>
            </w:r>
          </w:p>
        </w:tc>
        <w:tc>
          <w:tcPr>
            <w:tcW w:type="dxa" w:w="2880"/>
          </w:tcPr>
          <w:p>
            <w:r>
              <w:t>0.9814</w:t>
            </w:r>
          </w:p>
        </w:tc>
      </w:tr>
      <w:tr>
        <w:tc>
          <w:tcPr>
            <w:tcW w:type="dxa" w:w="2880"/>
          </w:tcPr>
          <w:p>
            <w:r>
              <w:t>SE(α)</w:t>
            </w:r>
          </w:p>
        </w:tc>
        <w:tc>
          <w:tcPr>
            <w:tcW w:type="dxa" w:w="2880"/>
          </w:tcPr>
          <w:p>
            <w:r>
              <w:t>0.0068</w:t>
            </w:r>
          </w:p>
        </w:tc>
        <w:tc>
          <w:tcPr>
            <w:tcW w:type="dxa" w:w="2880"/>
          </w:tcPr>
          <w:p>
            <w:r>
              <w:t>0.0008</w:t>
            </w:r>
          </w:p>
        </w:tc>
      </w:tr>
      <w:tr>
        <w:tc>
          <w:tcPr>
            <w:tcW w:type="dxa" w:w="2880"/>
          </w:tcPr>
          <w:p>
            <w:r>
              <w:t>SE(β)</w:t>
            </w:r>
          </w:p>
        </w:tc>
        <w:tc>
          <w:tcPr>
            <w:tcW w:type="dxa" w:w="2880"/>
          </w:tcPr>
          <w:p>
            <w:r>
              <w:t>0.1527</w:t>
            </w:r>
          </w:p>
        </w:tc>
        <w:tc>
          <w:tcPr>
            <w:tcW w:type="dxa" w:w="2880"/>
          </w:tcPr>
          <w:p>
            <w:r>
              <w:t>0.0177</w:t>
            </w:r>
          </w:p>
        </w:tc>
      </w:tr>
      <w:tr>
        <w:tc>
          <w:tcPr>
            <w:tcW w:type="dxa" w:w="2880"/>
          </w:tcPr>
          <w:p>
            <w:r>
              <w:t>t-stat(α)</w:t>
            </w:r>
          </w:p>
        </w:tc>
        <w:tc>
          <w:tcPr>
            <w:tcW w:type="dxa" w:w="2880"/>
          </w:tcPr>
          <w:p>
            <w:r>
              <w:t>0.5985</w:t>
            </w:r>
          </w:p>
        </w:tc>
        <w:tc>
          <w:tcPr>
            <w:tcW w:type="dxa" w:w="2880"/>
          </w:tcPr>
          <w:p>
            <w:r>
              <w:t>1.1277</w:t>
            </w:r>
          </w:p>
        </w:tc>
      </w:tr>
      <w:tr>
        <w:tc>
          <w:tcPr>
            <w:tcW w:type="dxa" w:w="2880"/>
          </w:tcPr>
          <w:p>
            <w:r>
              <w:t>t-stat(β)</w:t>
            </w:r>
          </w:p>
        </w:tc>
        <w:tc>
          <w:tcPr>
            <w:tcW w:type="dxa" w:w="2880"/>
          </w:tcPr>
          <w:p>
            <w:r>
              <w:t>6.9915</w:t>
            </w:r>
          </w:p>
        </w:tc>
        <w:tc>
          <w:tcPr>
            <w:tcW w:type="dxa" w:w="2880"/>
          </w:tcPr>
          <w:p>
            <w:r>
              <w:t>55.7769</w:t>
            </w:r>
          </w:p>
        </w:tc>
      </w:tr>
    </w:tbl>
    <w:p/>
    <w:p>
      <w:pPr>
        <w:pStyle w:val="Heading3"/>
      </w:pPr>
      <w:r>
        <w:t>a.1) Are alpha and beta statistically different from zero?</w:t>
      </w:r>
    </w:p>
    <w:p>
      <w:pPr>
        <w:pStyle w:val="ListBullet"/>
      </w:pPr>
      <w:r>
        <w:t>AAPL:</w:t>
      </w:r>
    </w:p>
    <w:p>
      <w:r>
        <w:t>Alpha (t = 0.5985) is NOT statistically significant at conventional levels (|t| &lt; 1.67).</w:t>
      </w:r>
    </w:p>
    <w:p>
      <w:r>
        <w:t>Beta (t = 6.9915) is statistically significant at the 1% level (|t| &gt; 2.66).</w:t>
      </w:r>
    </w:p>
    <w:p/>
    <w:p>
      <w:pPr>
        <w:pStyle w:val="ListBullet"/>
      </w:pPr>
      <w:r>
        <w:t>VFIAX:</w:t>
      </w:r>
    </w:p>
    <w:p>
      <w:r>
        <w:t>Alpha (t = 1.1277) is NOT statistically significant at conventional levels (|t| &lt; 1.67).</w:t>
      </w:r>
    </w:p>
    <w:p>
      <w:r>
        <w:t>Beta (t = 55.7769) is statistically significant at the 1% level (|t| &gt; 2.66).</w:t>
      </w:r>
    </w:p>
    <w:p/>
    <w:p>
      <w:r>
        <w:t>For both AAPL and VFIAX, the beta coefficient is highly significant, confirming that both assets have systematic risk exposure to the market. The alpha for AAPL is likely not statistically significant, meaning AAPL did not generate a statistically reliable excess return beyond what CAPM predicts. For VFIAX (an index fund), we would expect alpha to be close to zero and not significant, as index funds are designed to track the market, not to generate alpha.</w:t>
      </w:r>
    </w:p>
    <w:p>
      <w:pPr>
        <w:pStyle w:val="Heading3"/>
      </w:pPr>
      <w:r>
        <w:t>a.2) Interpretation of alpha and beta</w:t>
      </w:r>
    </w:p>
    <w:p>
      <w:r>
        <w:t>AAPL Alpha = 0.0040: This represents the monthly excess return of AAPL beyond what is predicted by the market model. A positive alpha suggests that AAPL outperformed the CAPM prediction over this period, though this may not be statistically significant.</w:t>
      </w:r>
    </w:p>
    <w:p>
      <w:r>
        <w:t>AAPL Beta = 1.0676: This measures AAPL's systematic risk. A beta greater than 1.0 indicates that AAPL is more volatile than the market. For every 1% change in the market excess return, AAPL's excess return is expected to change by approximately 1.07%.</w:t>
      </w:r>
    </w:p>
    <w:p>
      <w:r>
        <w:t>VFIAX Alpha = 0.0009: As an S&amp;P 500 index fund, VFIAX's alpha is very close to zero, which is expected. The small positive value reflects tracking error and expense ratio differences.</w:t>
      </w:r>
    </w:p>
    <w:p>
      <w:r>
        <w:t>VFIAX Beta = 0.9866: Being an index fund that tracks the S&amp;P 500, VFIAX's beta is very close to 1.0, confirming it closely mirrors market movements. This is exactly what we expect from a passively managed index fund.</w:t>
      </w:r>
    </w:p>
    <w:p>
      <w:pPr>
        <w:pStyle w:val="Heading3"/>
      </w:pPr>
      <w:r>
        <w:t>a.3) Which R-squared is highest? Expected?</w:t>
      </w:r>
    </w:p>
    <w:p>
      <w:r>
        <w:t>AAPL R² = 0.4531 (45.31%)</w:t>
        <w:br/>
        <w:t>VFIAX R² = 0.9814 (98.14%)</w:t>
      </w:r>
    </w:p>
    <w:p>
      <w:r>
        <w:t>VFIAX has the higher R-squared. This is expected because:</w:t>
      </w:r>
    </w:p>
    <w:p>
      <w:pPr>
        <w:pStyle w:val="ListBullet"/>
      </w:pPr>
      <w:r>
        <w:t>VFIAX is an S&amp;P 500 index fund that is designed to replicate the market index. Therefore, nearly all of its return variation is explained by market movements (systematic risk), resulting in a very high R-squared close to 1.0.</w:t>
      </w:r>
    </w:p>
    <w:p>
      <w:pPr>
        <w:pStyle w:val="ListBullet"/>
      </w:pPr>
      <w:r>
        <w:t>AAPL, as an individual stock, has both systematic risk (captured by beta) AND firm-specific (unsystematic/idiosyncratic) risk. The unsystematic risk component is not explained by the market model, leading to a lower R-squared. This is consistent with finance theory: individual stocks carry diversifiable risk that a well-diversified portfolio (like VFIAX) eliminates.</w:t>
      </w:r>
    </w:p>
    <w:p>
      <w:pPr>
        <w:pStyle w:val="Heading2"/>
      </w:pPr>
      <w:r>
        <w:t>Part b: Residuals and Appraisal Ratio</w:t>
      </w:r>
    </w:p>
    <w:p>
      <w:pPr>
        <w:pStyle w:val="Heading3"/>
      </w:pPr>
      <w:r>
        <w:t>b.1) What does the appraisal ratio measure?</w:t>
      </w:r>
    </w:p>
    <w:p>
      <w:r>
        <w:t>The appraisal ratio (also known as the information ratio in some contexts) measures the risk-adjusted excess return generated by an asset beyond what the market model predicts. It is calculated as:</w:t>
      </w:r>
    </w:p>
    <w:p>
      <w:pPr>
        <w:pStyle w:val="IntenseQuote"/>
      </w:pPr>
      <w:r>
        <w:t>Appraisal Ratio = Alpha / Standard Deviation of Residuals</w:t>
      </w:r>
    </w:p>
    <w:p>
      <w:r>
        <w:t>The numerator (alpha) captures the abnormal return — the return not explained by the market. The denominator (standard deviation of residuals) captures the unsystematic risk — the firm-specific volatility not related to market movements. Thus, the appraisal ratio tells us how much abnormal return an asset earns per unit of unsystematic risk taken. A higher appraisal ratio indicates better performance on a risk-adjusted basis, specifically adjusting for diversifiable risk.</w:t>
      </w:r>
    </w:p>
    <w:p>
      <w:pPr>
        <w:pStyle w:val="Heading3"/>
      </w:pPr>
      <w:r>
        <w:t>b.2) Appraisal ratios for AAPL and VFIAX</w:t>
      </w:r>
    </w:p>
    <w:p>
      <w:pPr>
        <w:pStyle w:val="IntenseQuote"/>
      </w:pPr>
      <w:r>
        <w:t>Calculations: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AAPL</w:t>
            </w:r>
          </w:p>
        </w:tc>
        <w:tc>
          <w:tcPr>
            <w:tcW w:type="dxa" w:w="2880"/>
          </w:tcPr>
          <w:p>
            <w:r>
              <w:t>VFIAX</w:t>
            </w:r>
          </w:p>
        </w:tc>
      </w:tr>
      <w:tr>
        <w:tc>
          <w:tcPr>
            <w:tcW w:type="dxa" w:w="2880"/>
          </w:tcPr>
          <w:p>
            <w:r>
              <w:t>Alpha (α)</w:t>
            </w:r>
          </w:p>
        </w:tc>
        <w:tc>
          <w:tcPr>
            <w:tcW w:type="dxa" w:w="2880"/>
          </w:tcPr>
          <w:p>
            <w:r>
              <w:t>0.004044</w:t>
            </w:r>
          </w:p>
        </w:tc>
        <w:tc>
          <w:tcPr>
            <w:tcW w:type="dxa" w:w="2880"/>
          </w:tcPr>
          <w:p>
            <w:r>
              <w:t>0.000883</w:t>
            </w:r>
          </w:p>
        </w:tc>
      </w:tr>
      <w:tr>
        <w:tc>
          <w:tcPr>
            <w:tcW w:type="dxa" w:w="2880"/>
          </w:tcPr>
          <w:p>
            <w:r>
              <w:t>Std Dev of Residuals (σ_ε)</w:t>
            </w:r>
          </w:p>
        </w:tc>
        <w:tc>
          <w:tcPr>
            <w:tcW w:type="dxa" w:w="2880"/>
          </w:tcPr>
          <w:p>
            <w:r>
              <w:t>0.051407</w:t>
            </w:r>
          </w:p>
        </w:tc>
        <w:tc>
          <w:tcPr>
            <w:tcW w:type="dxa" w:w="2880"/>
          </w:tcPr>
          <w:p>
            <w:r>
              <w:t>0.005955</w:t>
            </w:r>
          </w:p>
        </w:tc>
      </w:tr>
      <w:tr>
        <w:tc>
          <w:tcPr>
            <w:tcW w:type="dxa" w:w="2880"/>
          </w:tcPr>
          <w:p>
            <w:r>
              <w:t>Appraisal Ratio = α / σ_ε</w:t>
            </w:r>
          </w:p>
        </w:tc>
        <w:tc>
          <w:tcPr>
            <w:tcW w:type="dxa" w:w="2880"/>
          </w:tcPr>
          <w:p>
            <w:r>
              <w:t>0.0787</w:t>
            </w:r>
          </w:p>
        </w:tc>
        <w:tc>
          <w:tcPr>
            <w:tcW w:type="dxa" w:w="2880"/>
          </w:tcPr>
          <w:p>
            <w:r>
              <w:t>0.1482</w:t>
            </w:r>
          </w:p>
        </w:tc>
      </w:tr>
    </w:tbl>
    <w:p/>
    <w:p>
      <w:r>
        <w:t>VFIAX has the higher appraisal ratio (0.1482 vs 0.0787 for AAPL).</w:t>
      </w:r>
    </w:p>
    <w:p>
      <w:r>
        <w:t>At first glance this may seem surprising for a passive index fund. The reason lies in the denominator: VFIAX's residual standard deviation is extremely small (0.005955) because it tracks the market nearly perfectly (R² = 0.9814). Even though its alpha (0.000883) is tiny, dividing by an even tinier residual standard deviation produces a non-trivial appraisal ratio. Economically, this small positive alpha reflects the fact that the S&amp;P 500 (which VFIAX tracks) has historically slightly outperformed the Fama-French Mkt-RF factor used as the benchmark here.</w:t>
      </w:r>
    </w:p>
    <w:p>
      <w:r>
        <w:t>AAPL has a larger alpha (0.004044) but also a much larger residual standard deviation (0.051407), reflecting substantial firm-specific (idiosyncratic) risk. This large unsystematic risk dilutes the alpha, resulting in a lower appraisal ratio (0.0787).</w:t>
      </w:r>
    </w:p>
    <w:p>
      <w:pPr>
        <w:pStyle w:val="Heading3"/>
      </w:pPr>
      <w:r>
        <w:t>b.3) Why is the appraisal ratio used more for mutual funds?</w:t>
      </w:r>
    </w:p>
    <w:p>
      <w:r>
        <w:t>The appraisal ratio is used more often for mutual funds than for individual stocks for several reasons:</w:t>
      </w:r>
    </w:p>
    <w:p>
      <w:pPr>
        <w:pStyle w:val="ListBullet"/>
      </w:pPr>
      <w:r>
        <w:t>1. Mutual funds are managed portfolios, and the appraisal ratio directly evaluates a manager's skill. Alpha represents the value added by the manager's stock-picking ability, while the residual standard deviation represents the idiosyncratic risk the manager chose to take. The ratio thus measures the manager's ability to generate abnormal returns per unit of active risk.</w:t>
      </w:r>
    </w:p>
    <w:p>
      <w:pPr>
        <w:pStyle w:val="ListBullet"/>
      </w:pPr>
      <w:r>
        <w:t>2. For individual stocks, the unsystematic risk is inherent to the firm and cannot be reduced by the "stock itself." But mutual fund managers actively choose to deviate from the benchmark, so the unsystematic risk is a deliberate choice. The appraisal ratio evaluates whether that deliberate deviation was worthwhile.</w:t>
      </w:r>
    </w:p>
    <w:p>
      <w:pPr>
        <w:pStyle w:val="ListBullet"/>
      </w:pPr>
      <w:r>
        <w:t>3. In a well-diversified portfolio, unsystematic risk is largely eliminated. Mutual funds hold many stocks, so their residual risk is relatively small. The appraisal ratio is more meaningful when the residual risk is the result of active management decisions rather than simply being an unavoidable feature of holding a single security.</w:t>
      </w:r>
    </w:p>
    <w:p>
      <w:pPr>
        <w:pStyle w:val="Heading1"/>
      </w:pPr>
      <w:r>
        <w:t>Chapter 12: Excel Master It! Problem</w:t>
      </w:r>
    </w:p>
    <w:p>
      <w:pPr>
        <w:pStyle w:val="Heading2"/>
      </w:pPr>
      <w:r>
        <w:t>Carhart Four-Factor Model</w:t>
      </w:r>
    </w:p>
    <w:p>
      <w:pPr>
        <w:pStyle w:val="IntenseQuote"/>
      </w:pPr>
      <w:r>
        <w:t>Four-Factor Regression Results Summary: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Statistic</w:t>
            </w:r>
          </w:p>
        </w:tc>
        <w:tc>
          <w:tcPr>
            <w:tcW w:type="dxa" w:w="2880"/>
          </w:tcPr>
          <w:p>
            <w:r>
              <w:t>AAPL</w:t>
            </w:r>
          </w:p>
        </w:tc>
        <w:tc>
          <w:tcPr>
            <w:tcW w:type="dxa" w:w="2880"/>
          </w:tcPr>
          <w:p>
            <w:r>
              <w:t>VFIAX</w:t>
            </w:r>
          </w:p>
        </w:tc>
      </w:tr>
      <w:tr>
        <w:tc>
          <w:tcPr>
            <w:tcW w:type="dxa" w:w="2880"/>
          </w:tcPr>
          <w:p>
            <w:r>
              <w:t>Alpha (α)</w:t>
            </w:r>
          </w:p>
        </w:tc>
        <w:tc>
          <w:tcPr>
            <w:tcW w:type="dxa" w:w="2880"/>
          </w:tcPr>
          <w:p>
            <w:r>
              <w:t>0.0072</w:t>
            </w:r>
          </w:p>
        </w:tc>
        <w:tc>
          <w:tcPr>
            <w:tcW w:type="dxa" w:w="2880"/>
          </w:tcPr>
          <w:p>
            <w:r>
              <w:t>-0.0003</w:t>
            </w:r>
          </w:p>
        </w:tc>
      </w:tr>
      <w:tr>
        <w:tc>
          <w:tcPr>
            <w:tcW w:type="dxa" w:w="2880"/>
          </w:tcPr>
          <w:p>
            <w:r>
              <w:t>β(Mkt-RF)</w:t>
            </w:r>
          </w:p>
        </w:tc>
        <w:tc>
          <w:tcPr>
            <w:tcW w:type="dxa" w:w="2880"/>
          </w:tcPr>
          <w:p>
            <w:r>
              <w:t>0.9485</w:t>
            </w:r>
          </w:p>
        </w:tc>
        <w:tc>
          <w:tcPr>
            <w:tcW w:type="dxa" w:w="2880"/>
          </w:tcPr>
          <w:p>
            <w:r>
              <w:t>1.0133</w:t>
            </w:r>
          </w:p>
        </w:tc>
      </w:tr>
      <w:tr>
        <w:tc>
          <w:tcPr>
            <w:tcW w:type="dxa" w:w="2880"/>
          </w:tcPr>
          <w:p>
            <w:r>
              <w:t>β(SMB)</w:t>
            </w:r>
          </w:p>
        </w:tc>
        <w:tc>
          <w:tcPr>
            <w:tcW w:type="dxa" w:w="2880"/>
          </w:tcPr>
          <w:p>
            <w:r>
              <w:t>-0.1767</w:t>
            </w:r>
          </w:p>
        </w:tc>
        <w:tc>
          <w:tcPr>
            <w:tcW w:type="dxa" w:w="2880"/>
          </w:tcPr>
          <w:p>
            <w:r>
              <w:t>-0.1501</w:t>
            </w:r>
          </w:p>
        </w:tc>
      </w:tr>
      <w:tr>
        <w:tc>
          <w:tcPr>
            <w:tcW w:type="dxa" w:w="2880"/>
          </w:tcPr>
          <w:p>
            <w:r>
              <w:t>β(HML)</w:t>
            </w:r>
          </w:p>
        </w:tc>
        <w:tc>
          <w:tcPr>
            <w:tcW w:type="dxa" w:w="2880"/>
          </w:tcPr>
          <w:p>
            <w:r>
              <w:t>-0.3406</w:t>
            </w:r>
          </w:p>
        </w:tc>
        <w:tc>
          <w:tcPr>
            <w:tcW w:type="dxa" w:w="2880"/>
          </w:tcPr>
          <w:p>
            <w:r>
              <w:t>0.0300</w:t>
            </w:r>
          </w:p>
        </w:tc>
      </w:tr>
      <w:tr>
        <w:tc>
          <w:tcPr>
            <w:tcW w:type="dxa" w:w="2880"/>
          </w:tcPr>
          <w:p>
            <w:r>
              <w:t>β(Mom)</w:t>
            </w:r>
          </w:p>
        </w:tc>
        <w:tc>
          <w:tcPr>
            <w:tcW w:type="dxa" w:w="2880"/>
          </w:tcPr>
          <w:p>
            <w:r>
              <w:t>-0.4550</w:t>
            </w:r>
          </w:p>
        </w:tc>
        <w:tc>
          <w:tcPr>
            <w:tcW w:type="dxa" w:w="2880"/>
          </w:tcPr>
          <w:p>
            <w:r>
              <w:t>-0.0151</w:t>
            </w:r>
          </w:p>
        </w:tc>
      </w:tr>
      <w:tr>
        <w:tc>
          <w:tcPr>
            <w:tcW w:type="dxa" w:w="2880"/>
          </w:tcPr>
          <w:p>
            <w:r>
              <w:t>R-squared</w:t>
            </w:r>
          </w:p>
        </w:tc>
        <w:tc>
          <w:tcPr>
            <w:tcW w:type="dxa" w:w="2880"/>
          </w:tcPr>
          <w:p>
            <w:r>
              <w:t>0.5319</w:t>
            </w:r>
          </w:p>
        </w:tc>
        <w:tc>
          <w:tcPr>
            <w:tcW w:type="dxa" w:w="2880"/>
          </w:tcPr>
          <w:p>
            <w:r>
              <w:t>0.9900</w:t>
            </w:r>
          </w:p>
        </w:tc>
      </w:tr>
    </w:tbl>
    <w:p/>
    <w:p>
      <w:pPr>
        <w:pStyle w:val="Heading3"/>
      </w:pPr>
      <w:r>
        <w:t>1.a) Explanatory power: 4-factor vs market model — higher or lower?</w:t>
      </w:r>
    </w:p>
    <w:p>
      <w:r>
        <w:t>AAPL: Market Model R² = 0.4531, Four-Factor R² = 0.5319</w:t>
        <w:br/>
        <w:t>VFIAX: Market Model R² = 0.9814, Four-Factor R² = 0.9900</w:t>
      </w:r>
    </w:p>
    <w:p>
      <w:r>
        <w:t>We expect the four-factor model to have a higher (or at least equal) R-squared than the market model. This is because the four-factor model includes all the information in the market model (Mkt-RF) plus three additional factors (SMB, HML, Mom). Adding more independent variables to a regression can only increase (or maintain) R-squared, never decrease it. The additional factors capture sources of systematic risk that the single market factor misses, such as size effects (SMB), value/growth effects (HML), and momentum effects (Mom). For AAPL specifically, these additional factors may capture variation in returns related to Apple's characteristics as a large-cap growth stock.</w:t>
      </w:r>
    </w:p>
    <w:p>
      <w:pPr>
        <w:pStyle w:val="Heading3"/>
      </w:pPr>
      <w:r>
        <w:t>1.b) Are alpha and betas statistically different from zero?</w:t>
      </w:r>
    </w:p>
    <w:p>
      <w:pPr>
        <w:pStyle w:val="ListBullet"/>
      </w:pPr>
      <w:r>
        <w:t>AAPL Four-Factor Model:</w:t>
      </w:r>
    </w:p>
    <w:p>
      <w:r>
        <w:t>Alpha (t = 1.0652) is NOT statistically significant at conventional levels (|t| &lt; 1.67).</w:t>
      </w:r>
    </w:p>
    <w:p>
      <w:r>
        <w:t>β(Mkt-RF) (t = 6.0930) is statistically significant at the 1% level (|t| &gt; 2.66).</w:t>
      </w:r>
    </w:p>
    <w:p>
      <w:r>
        <w:t>β(SMB) (t = -0.7092) is NOT statistically significant at conventional levels (|t| &lt; 1.67).</w:t>
      </w:r>
    </w:p>
    <w:p>
      <w:r>
        <w:t>β(HML) (t = -2.1684) is statistically significant at the 5% level (|t| &gt; 2.00).</w:t>
      </w:r>
    </w:p>
    <w:p>
      <w:r>
        <w:t>β(Mom) (t = -2.3629) is statistically significant at the 5% level (|t| &gt; 2.00).</w:t>
      </w:r>
    </w:p>
    <w:p/>
    <w:p>
      <w:pPr>
        <w:pStyle w:val="ListBullet"/>
      </w:pPr>
      <w:r>
        <w:t>VFIAX Four-Factor Model:</w:t>
      </w:r>
    </w:p>
    <w:p>
      <w:r>
        <w:t>Alpha (t = -0.5508) is NOT statistically significant at conventional levels (|t| &lt; 1.67).</w:t>
      </w:r>
    </w:p>
    <w:p>
      <w:r>
        <w:t>β(Mkt-RF) (t = 70.8142) is statistically significant at the 1% level (|t| &gt; 2.66).</w:t>
      </w:r>
    </w:p>
    <w:p>
      <w:r>
        <w:t>β(SMB) (t = -6.5545) is statistically significant at the 1% level (|t| &gt; 2.66).</w:t>
      </w:r>
    </w:p>
    <w:p>
      <w:r>
        <w:t>β(HML) (t = 2.0781) is statistically significant at the 5% level (|t| &gt; 2.00).</w:t>
      </w:r>
    </w:p>
    <w:p>
      <w:r>
        <w:t>β(Mom) (t = -0.8519) is NOT statistically significant at conventional levels (|t| &lt; 1.67).</w:t>
      </w:r>
    </w:p>
    <w:p/>
    <w:p>
      <w:r>
        <w:t>For VFIAX (index fund), β(Mkt-RF) should be highly significant and close to 1.0, while the other factor loadings should be close to zero, reflecting its passive nature. For AAPL, the market beta should be significant. The significance of SMB, HML, and Mom depends on AAPL's specific characteristics during this period.</w:t>
      </w:r>
    </w:p>
    <w:p>
      <w:pPr>
        <w:pStyle w:val="Heading3"/>
      </w:pPr>
      <w:r>
        <w:t>1.c) Interpretation of betas for each independent variable</w:t>
      </w:r>
    </w:p>
    <w:p>
      <w:pPr>
        <w:pStyle w:val="ListBullet"/>
      </w:pPr>
      <w:r>
        <w:t>AAPL:</w:t>
      </w:r>
    </w:p>
    <w:p>
      <w:r>
        <w:t>β(Mkt-RF) = 0.9485: AAPL's sensitivity to the overall market. A value below 1.0 means AAPL is less sensitive to market movements than the average stock.</w:t>
      </w:r>
    </w:p>
    <w:p>
      <w:r>
        <w:t>β(SMB) = -0.1767: AAPL's exposure to the size factor. A negative value indicates AAPL behaves more like a large-cap stock, which is consistent with Apple being one of the largest companies in the world.</w:t>
      </w:r>
    </w:p>
    <w:p>
      <w:r>
        <w:t>β(HML) = -0.3406: AAPL's exposure to the value factor. A negative value indicates AAPL behaves more like a growth stock, consistent with Apple's high market-to-book ratio.</w:t>
      </w:r>
    </w:p>
    <w:p>
      <w:r>
        <w:t>β(Mom) = -0.4550: AAPL's exposure to momentum. A negative loading suggests AAPL tends to move against momentum trends in the market.</w:t>
      </w:r>
    </w:p>
    <w:p/>
    <w:p>
      <w:pPr>
        <w:pStyle w:val="ListBullet"/>
      </w:pPr>
      <w:r>
        <w:t>VFIAX:</w:t>
      </w:r>
    </w:p>
    <w:p>
      <w:r>
        <w:t>β(Mkt-RF) = 1.0133: Very close to 1.0, as expected for an S&amp;P 500 index fund. The fund's returns move almost one-for-one with the market. β(Mkt-RF) (t = 70.8142) is statistically significant at the 1% level (|t| &gt; 2.66).</w:t>
      </w:r>
    </w:p>
    <w:p>
      <w:r>
        <w:t>β(SMB) = -0.1501: This negative and statistically significant loading (β(SMB) (t = -6.5545) is statistically significant at the 1% level (|t| &gt; 2.66).) reflects that the S&amp;P 500 is a large-cap index. Large-cap stocks systematically underperform small-cap stocks on the SMB factor, so VFIAX loads negatively on SMB. This is an expected structural feature, not active management.</w:t>
      </w:r>
    </w:p>
    <w:p>
      <w:r>
        <w:t>β(HML) = 0.0300: β(HML) (t = 2.0781) is statistically significant at the 5% level (|t| &gt; 2.00). The S&amp;P 500 contains a blend of value and growth stocks; a slightly positive HML loading suggests a mild tilt toward value stocks in the index composition during this period.</w:t>
      </w:r>
    </w:p>
    <w:p>
      <w:r>
        <w:t>β(Mom) = -0.0151: β(Mom) (t = -0.8519) is NOT statistically significant at conventional levels (|t| &lt; 1.67). As a fully diversified index fund, VFIAX has no deliberate momentum strategy, so near-zero momentum exposure is expected.</w:t>
      </w:r>
    </w:p>
    <w:p>
      <w:pPr>
        <w:pStyle w:val="Heading3"/>
      </w:pPr>
      <w:r>
        <w:t>1.d) Which R-squared is highest? Expected?</w:t>
      </w:r>
    </w:p>
    <w:p>
      <w:r>
        <w:t>Four-Factor Model:</w:t>
        <w:br/>
        <w:t>AAPL R² = 0.5319 (53.19%)</w:t>
        <w:br/>
        <w:t>VFIAX R² = 0.9900 (99.00%)</w:t>
      </w:r>
    </w:p>
    <w:p>
      <w:r>
        <w:t>VFIAX has the highest R-squared in the four-factor model. This is consistent with the market model results and is expected for the same reasons:</w:t>
      </w:r>
    </w:p>
    <w:p>
      <w:pPr>
        <w:pStyle w:val="ListBullet"/>
      </w:pPr>
      <w:r>
        <w:t>VFIAX, as an S&amp;P 500 index fund, is a well-diversified portfolio with minimal idiosyncratic risk. Almost all of its return variation is driven by systematic factors, resulting in a very high R-squared.</w:t>
      </w:r>
    </w:p>
    <w:p>
      <w:pPr>
        <w:pStyle w:val="ListBullet"/>
      </w:pPr>
      <w:r>
        <w:t>AAPL, as a single stock, has substantial firm-specific risk (e.g., product launches, earnings surprises, management changes) that cannot be explained by any systematic factor model. Therefore, its R-squared will always be lower than that of a diversified portfolio.</w:t>
      </w:r>
    </w:p>
    <w:p>
      <w:r>
        <w:t>Comparing across models: AAPL's R² improved from 0.4531 to 0.5319 (+0.0788), a meaningful gain showing that SMB, HML, and Mom capture additional variation in AAPL's returns beyond just market risk. VFIAX's R² improved more modestly from 0.9814 to 0.9900 (+0.0086), mainly due to the highly significant negative SMB loading — the large-cap nature of the S&amp;P 500 is a systematic factor not fully captured by Mkt-RF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