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853E" w14:textId="15CB38CF" w:rsidR="003E5A6D" w:rsidRPr="004A505E" w:rsidRDefault="004A505E" w:rsidP="001C28C1">
      <w:pPr>
        <w:spacing w:after="0" w:line="240" w:lineRule="auto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{{body_content}}</w:t>
      </w:r>
    </w:p>
    <w:sectPr w:rsidR="003E5A6D" w:rsidRPr="004A505E" w:rsidSect="007954D9">
      <w:headerReference w:type="default" r:id="rId8"/>
      <w:footerReference w:type="default" r:id="rId9"/>
      <w:pgSz w:w="11906" w:h="16838"/>
      <w:pgMar w:top="1560" w:right="1800" w:bottom="1701" w:left="1800" w:header="568" w:footer="1444" w:gutter="0"/>
      <w:pgBorders w:offsetFrom="page">
        <w:top w:val="dotDotDash" w:sz="6" w:space="24" w:color="auto"/>
        <w:left w:val="dotDotDash" w:sz="6" w:space="24" w:color="auto"/>
        <w:bottom w:val="dotDotDash" w:sz="6" w:space="24" w:color="auto"/>
        <w:right w:val="dotDotDash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