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D239242">
      <w:pPr>
        <w:spacing w:after="60"/>
        <w:jc w:val="center"/>
      </w:pPr>
      <w:r>
        <w:rPr>
          <w:color w:val="0055AA"/>
          <w:sz w:val="18"/>
          <w:szCs w:val="18"/>
        </w:rPr>
        <w:t>Software Article</w:t>
      </w:r>
    </w:p>
    <w:p w14:paraId="6AE7E81B">
      <w:pPr>
        <w:spacing w:after="120"/>
        <w:jc w:val="left"/>
      </w:pPr>
      <w:r>
        <w:rPr>
          <w:i/>
          <w:iCs/>
          <w:sz w:val="20"/>
          <w:szCs w:val="20"/>
        </w:rPr>
        <w:t>Original software publication</w:t>
      </w:r>
    </w:p>
    <w:p w14:paraId="63519F96">
      <w:pPr>
        <w:pBdr>
          <w:bottom w:val="single" w:color="003366" w:sz="4" w:space="4"/>
        </w:pBdr>
        <w:spacing w:before="120" w:after="200"/>
        <w:jc w:val="left"/>
      </w:pPr>
      <w:r>
        <w:rPr>
          <w:b/>
          <w:bCs/>
          <w:sz w:val="32"/>
          <w:szCs w:val="32"/>
        </w:rPr>
        <w:t>Souk-Data-Mining: A Citizen-Driven Web Platform for Food Price Monitoring and Inflation Analysis in Rural Markets</w:t>
      </w:r>
    </w:p>
    <w:p w14:paraId="0212B222">
      <w:pPr>
        <w:spacing w:after="80"/>
      </w:pPr>
      <w:r>
        <w:rPr>
          <w:b/>
          <w:bCs/>
          <w:sz w:val="22"/>
          <w:szCs w:val="22"/>
        </w:rPr>
        <w:t>Moussa Abdou Kadidja</w:t>
      </w:r>
      <w:r>
        <w:rPr>
          <w:b/>
          <w:bCs/>
          <w:sz w:val="18"/>
          <w:szCs w:val="18"/>
        </w:rPr>
        <w:t>ᵃ</w:t>
      </w:r>
      <w:r>
        <w:rPr>
          <w:b/>
          <w:bCs/>
          <w:sz w:val="22"/>
          <w:szCs w:val="22"/>
        </w:rPr>
        <w:t>, Tyib Mohamed Yahya Taleb</w:t>
      </w:r>
      <w:r>
        <w:rPr>
          <w:b/>
          <w:bCs/>
          <w:sz w:val="18"/>
          <w:szCs w:val="18"/>
        </w:rPr>
        <w:t>ᵇ</w:t>
      </w:r>
    </w:p>
    <w:p w14:paraId="7BAA8B20">
      <w:pPr>
        <w:spacing w:after="40"/>
      </w:pPr>
      <w:r>
        <w:rPr>
          <w:i/>
          <w:iCs/>
          <w:sz w:val="20"/>
          <w:szCs w:val="20"/>
        </w:rPr>
        <w:t>ᵃ Department of Computer Science, Chouaib Doukkali ,El Jadida, Morocco</w:t>
      </w:r>
    </w:p>
    <w:p w14:paraId="61F31511">
      <w:pPr>
        <w:spacing w:after="180"/>
        <w:rPr>
          <w:i/>
          <w:iCs/>
          <w:sz w:val="20"/>
          <w:szCs w:val="20"/>
        </w:rPr>
      </w:pPr>
      <w:r>
        <w:rPr>
          <w:i/>
          <w:iCs/>
          <w:sz w:val="20"/>
          <w:szCs w:val="20"/>
        </w:rPr>
        <w:t>ᵇ Department of</w:t>
      </w:r>
      <w:r>
        <w:rPr>
          <w:rFonts w:hint="default"/>
          <w:i/>
          <w:iCs/>
          <w:sz w:val="20"/>
          <w:szCs w:val="20"/>
          <w:lang w:val="fr-FR"/>
        </w:rPr>
        <w:t xml:space="preserve"> </w:t>
      </w:r>
      <w:r>
        <w:rPr>
          <w:i/>
          <w:iCs/>
          <w:sz w:val="20"/>
          <w:szCs w:val="20"/>
        </w:rPr>
        <w:t>Computer Science , Chouaib Doukkali ,El Jadida, Morocco</w:t>
      </w:r>
    </w:p>
    <w:tbl>
      <w:tblPr>
        <w:tblStyle w:val="17"/>
        <w:tblW w:w="938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6786"/>
      </w:tblGrid>
      <w:tr w14:paraId="7A9F60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nil"/>
              <w:left w:val="nil"/>
              <w:bottom w:val="nil"/>
              <w:right w:val="nil"/>
            </w:tcBorders>
            <w:tcMar>
              <w:top w:w="0" w:type="dxa"/>
              <w:left w:w="0" w:type="dxa"/>
              <w:bottom w:w="0" w:type="dxa"/>
              <w:right w:w="200" w:type="dxa"/>
            </w:tcMar>
          </w:tcPr>
          <w:p w14:paraId="3C91C724">
            <w:pPr>
              <w:spacing w:after="40"/>
            </w:pPr>
            <w:r>
              <w:rPr>
                <w:b/>
                <w:bCs/>
                <w:sz w:val="20"/>
                <w:szCs w:val="20"/>
              </w:rPr>
              <w:t>Article history:</w:t>
            </w:r>
          </w:p>
          <w:p w14:paraId="1F6D7929">
            <w:pPr>
              <w:spacing w:after="30"/>
            </w:pPr>
            <w:r>
              <w:rPr>
                <w:rFonts w:ascii="Times New Roman" w:hAnsi="Times New Roman" w:eastAsia="Times New Roman" w:cs="Times New Roman"/>
                <w:sz w:val="18"/>
                <w:szCs w:val="18"/>
              </w:rPr>
              <w:t xml:space="preserve">Received: </w:t>
            </w:r>
          </w:p>
          <w:p w14:paraId="4809A697">
            <w:pPr>
              <w:spacing w:after="30"/>
            </w:pPr>
            <w:r>
              <w:rPr>
                <w:rFonts w:ascii="Times New Roman" w:hAnsi="Times New Roman" w:eastAsia="Times New Roman" w:cs="Times New Roman"/>
                <w:sz w:val="18"/>
                <w:szCs w:val="18"/>
              </w:rPr>
              <w:t xml:space="preserve">Revised: </w:t>
            </w:r>
          </w:p>
          <w:p w14:paraId="0452D322">
            <w:pPr>
              <w:spacing w:after="120"/>
            </w:pPr>
            <w:r>
              <w:rPr>
                <w:rFonts w:ascii="Times New Roman" w:hAnsi="Times New Roman" w:eastAsia="Times New Roman" w:cs="Times New Roman"/>
                <w:sz w:val="18"/>
                <w:szCs w:val="18"/>
              </w:rPr>
              <w:t xml:space="preserve">Accepted: </w:t>
            </w:r>
          </w:p>
          <w:p w14:paraId="061B0E7B">
            <w:pPr>
              <w:spacing w:after="40"/>
            </w:pPr>
            <w:r>
              <w:rPr>
                <w:rFonts w:ascii="Times New Roman" w:hAnsi="Times New Roman" w:eastAsia="Times New Roman" w:cs="Times New Roman"/>
                <w:b/>
                <w:bCs/>
                <w:sz w:val="20"/>
                <w:szCs w:val="20"/>
              </w:rPr>
              <w:t>Keywords:</w:t>
            </w:r>
          </w:p>
          <w:p w14:paraId="086FC1FE">
            <w:pPr>
              <w:spacing w:after="30"/>
            </w:pPr>
            <w:r>
              <w:rPr>
                <w:rFonts w:ascii="Times New Roman" w:hAnsi="Times New Roman" w:eastAsia="Times New Roman" w:cs="Times New Roman"/>
                <w:sz w:val="18"/>
                <w:szCs w:val="18"/>
              </w:rPr>
              <w:t>Price monitoring</w:t>
            </w:r>
          </w:p>
          <w:p w14:paraId="0F00055F">
            <w:pPr>
              <w:spacing w:after="30"/>
            </w:pPr>
            <w:r>
              <w:rPr>
                <w:rFonts w:ascii="Times New Roman" w:hAnsi="Times New Roman" w:eastAsia="Times New Roman" w:cs="Times New Roman"/>
                <w:sz w:val="18"/>
                <w:szCs w:val="18"/>
              </w:rPr>
              <w:t>Crowdsourcing</w:t>
            </w:r>
          </w:p>
          <w:p w14:paraId="706DC00D">
            <w:pPr>
              <w:spacing w:after="30"/>
            </w:pPr>
            <w:r>
              <w:rPr>
                <w:rFonts w:ascii="Times New Roman" w:hAnsi="Times New Roman" w:eastAsia="Times New Roman" w:cs="Times New Roman"/>
                <w:sz w:val="18"/>
                <w:szCs w:val="18"/>
              </w:rPr>
              <w:t>Food inflation</w:t>
            </w:r>
          </w:p>
          <w:p w14:paraId="0215C0C6">
            <w:pPr>
              <w:spacing w:after="30"/>
            </w:pPr>
            <w:r>
              <w:rPr>
                <w:rFonts w:ascii="Times New Roman" w:hAnsi="Times New Roman" w:eastAsia="Times New Roman" w:cs="Times New Roman"/>
                <w:sz w:val="18"/>
                <w:szCs w:val="18"/>
              </w:rPr>
              <w:t>Anomaly detection</w:t>
            </w:r>
          </w:p>
          <w:p w14:paraId="7B195BA4">
            <w:pPr>
              <w:spacing w:after="30"/>
            </w:pPr>
            <w:r>
              <w:rPr>
                <w:rFonts w:ascii="Times New Roman" w:hAnsi="Times New Roman" w:eastAsia="Times New Roman" w:cs="Times New Roman"/>
                <w:sz w:val="18"/>
                <w:szCs w:val="18"/>
              </w:rPr>
              <w:t>Data visualization</w:t>
            </w:r>
          </w:p>
          <w:p w14:paraId="1235052D">
            <w:pPr>
              <w:spacing w:after="30"/>
            </w:pPr>
            <w:r>
              <w:rPr>
                <w:rFonts w:ascii="Times New Roman" w:hAnsi="Times New Roman" w:eastAsia="Times New Roman" w:cs="Times New Roman"/>
                <w:sz w:val="18"/>
                <w:szCs w:val="18"/>
              </w:rPr>
              <w:t>Informal markets</w:t>
            </w:r>
          </w:p>
        </w:tc>
        <w:tc>
          <w:tcPr>
            <w:tcW w:w="6786" w:type="dxa"/>
            <w:tcBorders>
              <w:top w:val="nil"/>
              <w:left w:val="single" w:color="003366" w:sz="4" w:space="0"/>
              <w:bottom w:val="nil"/>
              <w:right w:val="nil"/>
            </w:tcBorders>
            <w:tcMar>
              <w:top w:w="0" w:type="dxa"/>
              <w:left w:w="200" w:type="dxa"/>
              <w:bottom w:w="0" w:type="dxa"/>
              <w:right w:w="0" w:type="dxa"/>
            </w:tcMar>
          </w:tcPr>
          <w:p w14:paraId="36A43888">
            <w:pPr>
              <w:spacing w:after="80"/>
            </w:pPr>
            <w:r>
              <w:rPr>
                <w:b/>
                <w:bCs/>
              </w:rPr>
              <w:t>Abstract</w:t>
            </w:r>
          </w:p>
          <w:p w14:paraId="43AA5F1B">
            <w:pPr>
              <w:spacing w:after="80"/>
            </w:pPr>
            <w:r>
              <w:rPr>
                <w:sz w:val="22"/>
                <w:szCs w:val="22"/>
              </w:rPr>
              <w:t>Food prices in weekly rural markets (souks) across Morocco are highly volatile and poorly documented, creating economic opacity that hinders consumer protection and macroeconomic analysis. This paper presents Souk-Data-Mining, an open-source web application designed to collect, analyze, and visualize real-time food price data from local souks through a participatory crowdsourcing approach. Citizens contribute price observations</w:t>
            </w:r>
            <w:r>
              <w:rPr>
                <w:rFonts w:hint="default"/>
                <w:sz w:val="22"/>
                <w:szCs w:val="22"/>
                <w:lang w:val="fr-FR"/>
              </w:rPr>
              <w:t xml:space="preserve">, </w:t>
            </w:r>
            <w:r>
              <w:rPr>
                <w:sz w:val="22"/>
                <w:szCs w:val="22"/>
              </w:rPr>
              <w:t>associated with a product name, price, and automatic geolocation</w:t>
            </w:r>
            <w:r>
              <w:rPr>
                <w:rFonts w:hint="default"/>
                <w:sz w:val="22"/>
                <w:szCs w:val="22"/>
                <w:lang w:val="fr-FR"/>
              </w:rPr>
              <w:t xml:space="preserve">, </w:t>
            </w:r>
            <w:r>
              <w:rPr>
                <w:sz w:val="22"/>
                <w:szCs w:val="22"/>
              </w:rPr>
              <w:t>which are aggregated into a regional database. The platform applies statistical anomaly detection algorithms to flag abnormal price spikes and generates interactive dashboards using D3.js for temporal trends, regional price comparisons, and</w:t>
            </w:r>
            <w:r>
              <w:rPr>
                <w:rFonts w:hint="default" w:ascii="Times New Roman" w:hAnsi="Times New Roman" w:eastAsia="SimSun" w:cs="Times New Roman"/>
                <w:sz w:val="22"/>
                <w:szCs w:val="22"/>
              </w:rPr>
              <w:t xml:space="preserve"> city-level price analysis</w:t>
            </w:r>
            <w:r>
              <w:rPr>
                <w:rFonts w:hint="default" w:ascii="Times New Roman" w:hAnsi="Times New Roman" w:eastAsia="SimSun" w:cs="Times New Roman"/>
                <w:sz w:val="24"/>
                <w:szCs w:val="24"/>
              </w:rPr>
              <w:t>.</w:t>
            </w:r>
            <w:r>
              <w:rPr>
                <w:sz w:val="22"/>
                <w:szCs w:val="22"/>
              </w:rPr>
              <w:t>. Built with Next.js, the Geolocation API, and a RESTful backend, the platform offers a lightweight, accessible interface for citizens, researchers, and public institutions. Souk-Data-Mining enables real-time socioeconomic analysis of informal distribution circuits, contributing to food price transparency, inflation monitoring, and evidence-based policy-making in underserved rural contexts.</w:t>
            </w:r>
          </w:p>
          <w:p w14:paraId="5EECA4D1"/>
        </w:tc>
      </w:tr>
    </w:tbl>
    <w:p w14:paraId="57238BF9">
      <w:pPr>
        <w:spacing w:after="60"/>
      </w:pPr>
    </w:p>
    <w:p w14:paraId="0C8DBDC8">
      <w:pPr>
        <w:spacing w:before="160" w:after="100"/>
      </w:pPr>
      <w:r>
        <w:rPr>
          <w:b/>
          <w:bCs/>
        </w:rPr>
        <w:t>Code metadata</w:t>
      </w:r>
    </w:p>
    <w:tbl>
      <w:tblPr>
        <w:tblStyle w:val="17"/>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000"/>
        <w:gridCol w:w="5360"/>
      </w:tblGrid>
      <w:tr w14:paraId="7B8CA6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09582BA7">
            <w:r>
              <w:rPr>
                <w:b/>
                <w:bCs/>
                <w:sz w:val="20"/>
                <w:szCs w:val="20"/>
              </w:rPr>
              <w:t>Current code version</w:t>
            </w:r>
          </w:p>
        </w:tc>
        <w:tc>
          <w:tcPr>
            <w:tcW w:w="536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7BD09A09">
            <w:r>
              <w:rPr>
                <w:sz w:val="20"/>
                <w:szCs w:val="20"/>
              </w:rPr>
              <w:t>V1.0.0</w:t>
            </w:r>
          </w:p>
        </w:tc>
      </w:tr>
      <w:tr w14:paraId="34309B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0" w:type="dxa"/>
            <w:tcBorders>
              <w:top w:val="single" w:color="AAAAAA" w:sz="0" w:space="0"/>
              <w:left w:val="single" w:color="AAAAAA" w:sz="0" w:space="0"/>
              <w:bottom w:val="single" w:color="AAAAAA" w:sz="0" w:space="0"/>
              <w:right w:val="single" w:color="AAAAAA" w:sz="0" w:space="0"/>
            </w:tcBorders>
            <w:shd w:val="clear" w:color="auto" w:fill="E8EEF4"/>
            <w:tcMar>
              <w:top w:w="60" w:type="dxa"/>
              <w:left w:w="100" w:type="dxa"/>
              <w:bottom w:w="60" w:type="dxa"/>
              <w:right w:w="100" w:type="dxa"/>
            </w:tcMar>
          </w:tcPr>
          <w:p w14:paraId="360D43DF">
            <w:r>
              <w:rPr>
                <w:b/>
                <w:bCs/>
                <w:sz w:val="20"/>
                <w:szCs w:val="20"/>
              </w:rPr>
              <w:t>Permanent link to code/repository</w:t>
            </w:r>
          </w:p>
        </w:tc>
        <w:tc>
          <w:tcPr>
            <w:tcW w:w="5360" w:type="dxa"/>
            <w:tcBorders>
              <w:top w:val="single" w:color="AAAAAA" w:sz="0" w:space="0"/>
              <w:left w:val="single" w:color="AAAAAA" w:sz="0" w:space="0"/>
              <w:bottom w:val="single" w:color="AAAAAA" w:sz="0" w:space="0"/>
              <w:right w:val="single" w:color="AAAAAA" w:sz="0" w:space="0"/>
            </w:tcBorders>
            <w:shd w:val="clear" w:color="auto" w:fill="E8EEF4"/>
            <w:tcMar>
              <w:top w:w="60" w:type="dxa"/>
              <w:left w:w="100" w:type="dxa"/>
              <w:bottom w:w="60" w:type="dxa"/>
              <w:right w:w="100" w:type="dxa"/>
            </w:tcMar>
          </w:tcPr>
          <w:p w14:paraId="3F28C4EE">
            <w:r>
              <w:rPr>
                <w:sz w:val="20"/>
                <w:szCs w:val="20"/>
              </w:rPr>
              <w:t>https://github.com/Yahye-tiyib/Projet_Data_mining.git</w:t>
            </w:r>
          </w:p>
        </w:tc>
      </w:tr>
      <w:tr w14:paraId="49F7FE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194C1BDF">
            <w:r>
              <w:rPr>
                <w:b/>
                <w:bCs/>
                <w:sz w:val="20"/>
                <w:szCs w:val="20"/>
              </w:rPr>
              <w:t>Legal code license</w:t>
            </w:r>
          </w:p>
        </w:tc>
        <w:tc>
          <w:tcPr>
            <w:tcW w:w="536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7147275A">
            <w:r>
              <w:rPr>
                <w:sz w:val="20"/>
                <w:szCs w:val="20"/>
              </w:rPr>
              <w:t>MIT</w:t>
            </w:r>
          </w:p>
        </w:tc>
      </w:tr>
      <w:tr w14:paraId="5E19EF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0" w:type="dxa"/>
            <w:tcBorders>
              <w:top w:val="single" w:color="AAAAAA" w:sz="0" w:space="0"/>
              <w:left w:val="single" w:color="AAAAAA" w:sz="0" w:space="0"/>
              <w:bottom w:val="single" w:color="AAAAAA" w:sz="0" w:space="0"/>
              <w:right w:val="single" w:color="AAAAAA" w:sz="0" w:space="0"/>
            </w:tcBorders>
            <w:shd w:val="clear" w:color="auto" w:fill="E8EEF4"/>
            <w:tcMar>
              <w:top w:w="60" w:type="dxa"/>
              <w:left w:w="100" w:type="dxa"/>
              <w:bottom w:w="60" w:type="dxa"/>
              <w:right w:w="100" w:type="dxa"/>
            </w:tcMar>
          </w:tcPr>
          <w:p w14:paraId="780133E4">
            <w:r>
              <w:rPr>
                <w:b/>
                <w:bCs/>
                <w:sz w:val="20"/>
                <w:szCs w:val="20"/>
              </w:rPr>
              <w:t>Code versioning system used</w:t>
            </w:r>
          </w:p>
        </w:tc>
        <w:tc>
          <w:tcPr>
            <w:tcW w:w="5360" w:type="dxa"/>
            <w:tcBorders>
              <w:top w:val="single" w:color="AAAAAA" w:sz="0" w:space="0"/>
              <w:left w:val="single" w:color="AAAAAA" w:sz="0" w:space="0"/>
              <w:bottom w:val="single" w:color="AAAAAA" w:sz="0" w:space="0"/>
              <w:right w:val="single" w:color="AAAAAA" w:sz="0" w:space="0"/>
            </w:tcBorders>
            <w:shd w:val="clear" w:color="auto" w:fill="E8EEF4"/>
            <w:tcMar>
              <w:top w:w="60" w:type="dxa"/>
              <w:left w:w="100" w:type="dxa"/>
              <w:bottom w:w="60" w:type="dxa"/>
              <w:right w:w="100" w:type="dxa"/>
            </w:tcMar>
          </w:tcPr>
          <w:p w14:paraId="47546337">
            <w:r>
              <w:rPr>
                <w:sz w:val="20"/>
                <w:szCs w:val="20"/>
              </w:rPr>
              <w:t>git</w:t>
            </w:r>
          </w:p>
        </w:tc>
      </w:tr>
      <w:tr w14:paraId="5CC781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5AEC48C2">
            <w:r>
              <w:rPr>
                <w:b/>
                <w:bCs/>
                <w:sz w:val="20"/>
                <w:szCs w:val="20"/>
              </w:rPr>
              <w:t>Software code languages, tools and services used</w:t>
            </w:r>
          </w:p>
        </w:tc>
        <w:tc>
          <w:tcPr>
            <w:tcW w:w="536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289FE2B2">
            <w:r>
              <w:rPr>
                <w:sz w:val="20"/>
                <w:szCs w:val="20"/>
              </w:rPr>
              <w:t>JavaScript,HTML, Next.js, D3.js, Node.js, CSS</w:t>
            </w:r>
          </w:p>
        </w:tc>
      </w:tr>
      <w:tr w14:paraId="4ACF85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0" w:type="dxa"/>
            <w:tcBorders>
              <w:top w:val="single" w:color="AAAAAA" w:sz="0" w:space="0"/>
              <w:left w:val="single" w:color="AAAAAA" w:sz="0" w:space="0"/>
              <w:bottom w:val="single" w:color="AAAAAA" w:sz="0" w:space="0"/>
              <w:right w:val="single" w:color="AAAAAA" w:sz="0" w:space="0"/>
            </w:tcBorders>
            <w:shd w:val="clear" w:color="auto" w:fill="E8EEF4"/>
            <w:tcMar>
              <w:top w:w="60" w:type="dxa"/>
              <w:left w:w="100" w:type="dxa"/>
              <w:bottom w:w="60" w:type="dxa"/>
              <w:right w:w="100" w:type="dxa"/>
            </w:tcMar>
          </w:tcPr>
          <w:p w14:paraId="7C1E3191">
            <w:r>
              <w:rPr>
                <w:b/>
                <w:bCs/>
                <w:sz w:val="20"/>
                <w:szCs w:val="20"/>
              </w:rPr>
              <w:t>Compilation requirements and dependencies</w:t>
            </w:r>
          </w:p>
        </w:tc>
        <w:tc>
          <w:tcPr>
            <w:tcW w:w="5360" w:type="dxa"/>
            <w:tcBorders>
              <w:top w:val="single" w:color="AAAAAA" w:sz="0" w:space="0"/>
              <w:left w:val="single" w:color="AAAAAA" w:sz="0" w:space="0"/>
              <w:bottom w:val="single" w:color="AAAAAA" w:sz="0" w:space="0"/>
              <w:right w:val="single" w:color="AAAAAA" w:sz="0" w:space="0"/>
            </w:tcBorders>
            <w:shd w:val="clear" w:color="auto" w:fill="E8EEF4"/>
            <w:tcMar>
              <w:top w:w="60" w:type="dxa"/>
              <w:left w:w="100" w:type="dxa"/>
              <w:bottom w:w="60" w:type="dxa"/>
              <w:right w:w="100" w:type="dxa"/>
            </w:tcMar>
          </w:tcPr>
          <w:p w14:paraId="228E6DE2">
            <w:r>
              <w:rPr>
                <w:sz w:val="20"/>
                <w:szCs w:val="20"/>
              </w:rPr>
              <w:t>Node.js &gt;= 18, npm install, see README.md</w:t>
            </w:r>
          </w:p>
        </w:tc>
      </w:tr>
      <w:tr w14:paraId="044809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5F6EA4B4">
            <w:r>
              <w:rPr>
                <w:b/>
                <w:bCs/>
                <w:sz w:val="20"/>
                <w:szCs w:val="20"/>
              </w:rPr>
              <w:t>Link to developer documentation</w:t>
            </w:r>
          </w:p>
        </w:tc>
        <w:tc>
          <w:tcPr>
            <w:tcW w:w="536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2664B89D">
            <w:r>
              <w:rPr>
                <w:sz w:val="20"/>
                <w:szCs w:val="20"/>
              </w:rPr>
              <w:t>https://github.com/Yahye-tiyib/Projet_Data_mining.git</w:t>
            </w:r>
          </w:p>
        </w:tc>
      </w:tr>
      <w:tr w14:paraId="073EFB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0" w:type="dxa"/>
            <w:tcBorders>
              <w:top w:val="single" w:color="AAAAAA" w:sz="0" w:space="0"/>
              <w:left w:val="single" w:color="AAAAAA" w:sz="0" w:space="0"/>
              <w:bottom w:val="single" w:color="AAAAAA" w:sz="0" w:space="0"/>
              <w:right w:val="single" w:color="AAAAAA" w:sz="0" w:space="0"/>
            </w:tcBorders>
            <w:shd w:val="clear" w:color="auto" w:fill="E8EEF4"/>
            <w:tcMar>
              <w:top w:w="60" w:type="dxa"/>
              <w:left w:w="100" w:type="dxa"/>
              <w:bottom w:w="60" w:type="dxa"/>
              <w:right w:w="100" w:type="dxa"/>
            </w:tcMar>
          </w:tcPr>
          <w:p w14:paraId="5C1E63A4">
            <w:r>
              <w:rPr>
                <w:b/>
                <w:bCs/>
                <w:sz w:val="20"/>
                <w:szCs w:val="20"/>
              </w:rPr>
              <w:t>Support email for questions</w:t>
            </w:r>
          </w:p>
        </w:tc>
        <w:tc>
          <w:tcPr>
            <w:tcW w:w="5360" w:type="dxa"/>
            <w:tcBorders>
              <w:top w:val="single" w:color="AAAAAA" w:sz="0" w:space="0"/>
              <w:left w:val="single" w:color="AAAAAA" w:sz="0" w:space="0"/>
              <w:bottom w:val="single" w:color="AAAAAA" w:sz="0" w:space="0"/>
              <w:right w:val="single" w:color="AAAAAA" w:sz="0" w:space="0"/>
            </w:tcBorders>
            <w:shd w:val="clear" w:color="auto" w:fill="E8EEF4"/>
            <w:tcMar>
              <w:top w:w="60" w:type="dxa"/>
              <w:left w:w="100" w:type="dxa"/>
              <w:bottom w:w="60" w:type="dxa"/>
              <w:right w:w="100" w:type="dxa"/>
            </w:tcMar>
          </w:tcPr>
          <w:p w14:paraId="5B881D65">
            <w:r>
              <w:rPr>
                <w:sz w:val="20"/>
                <w:szCs w:val="20"/>
              </w:rPr>
              <w:t>medyahyatyib234@gmail.com</w:t>
            </w:r>
          </w:p>
        </w:tc>
      </w:tr>
    </w:tbl>
    <w:p w14:paraId="31FC7DF2">
      <w:pPr>
        <w:spacing w:after="60"/>
      </w:pPr>
    </w:p>
    <w:p w14:paraId="6D6CD58E">
      <w:pPr>
        <w:spacing w:before="160" w:after="100"/>
      </w:pPr>
      <w:r>
        <w:rPr>
          <w:b/>
          <w:bCs/>
        </w:rPr>
        <w:t>Software metadata</w:t>
      </w:r>
    </w:p>
    <w:tbl>
      <w:tblPr>
        <w:tblStyle w:val="17"/>
        <w:tblW w:w="943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000"/>
        <w:gridCol w:w="5435"/>
      </w:tblGrid>
      <w:tr w14:paraId="4DBBA4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2054CCF3">
            <w:r>
              <w:rPr>
                <w:b/>
                <w:bCs/>
                <w:sz w:val="20"/>
                <w:szCs w:val="20"/>
              </w:rPr>
              <w:t>Current software version</w:t>
            </w:r>
          </w:p>
        </w:tc>
        <w:tc>
          <w:tcPr>
            <w:tcW w:w="5435"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3B665AB4">
            <w:r>
              <w:rPr>
                <w:sz w:val="20"/>
                <w:szCs w:val="20"/>
              </w:rPr>
              <w:t>V1.0.0</w:t>
            </w:r>
          </w:p>
        </w:tc>
      </w:tr>
      <w:tr w14:paraId="43D6D3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0" w:type="dxa"/>
            <w:tcBorders>
              <w:top w:val="single" w:color="AAAAAA" w:sz="0" w:space="0"/>
              <w:left w:val="single" w:color="AAAAAA" w:sz="0" w:space="0"/>
              <w:bottom w:val="single" w:color="AAAAAA" w:sz="0" w:space="0"/>
              <w:right w:val="single" w:color="AAAAAA" w:sz="0" w:space="0"/>
            </w:tcBorders>
            <w:shd w:val="clear" w:color="auto" w:fill="E8EEF4"/>
            <w:tcMar>
              <w:top w:w="60" w:type="dxa"/>
              <w:left w:w="100" w:type="dxa"/>
              <w:bottom w:w="60" w:type="dxa"/>
              <w:right w:w="100" w:type="dxa"/>
            </w:tcMar>
          </w:tcPr>
          <w:p w14:paraId="109466FB">
            <w:r>
              <w:rPr>
                <w:b/>
                <w:bCs/>
                <w:sz w:val="20"/>
                <w:szCs w:val="20"/>
              </w:rPr>
              <w:t>Permanent link to executables</w:t>
            </w:r>
          </w:p>
        </w:tc>
        <w:tc>
          <w:tcPr>
            <w:tcW w:w="5435" w:type="dxa"/>
            <w:tcBorders>
              <w:top w:val="single" w:color="AAAAAA" w:sz="0" w:space="0"/>
              <w:left w:val="single" w:color="AAAAAA" w:sz="0" w:space="0"/>
              <w:bottom w:val="single" w:color="AAAAAA" w:sz="0" w:space="0"/>
              <w:right w:val="single" w:color="AAAAAA" w:sz="0" w:space="0"/>
            </w:tcBorders>
            <w:shd w:val="clear" w:color="auto" w:fill="E8EEF4"/>
            <w:tcMar>
              <w:top w:w="60" w:type="dxa"/>
              <w:left w:w="100" w:type="dxa"/>
              <w:bottom w:w="60" w:type="dxa"/>
              <w:right w:w="100" w:type="dxa"/>
            </w:tcMar>
          </w:tcPr>
          <w:p w14:paraId="74D3FCD3"/>
        </w:tc>
      </w:tr>
      <w:tr w14:paraId="23CB3D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7B377222">
            <w:r>
              <w:rPr>
                <w:b/>
                <w:bCs/>
                <w:sz w:val="20"/>
                <w:szCs w:val="20"/>
              </w:rPr>
              <w:t>Legal Software License</w:t>
            </w:r>
          </w:p>
        </w:tc>
        <w:tc>
          <w:tcPr>
            <w:tcW w:w="5435"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5D7F0E0D">
            <w:pPr>
              <w:rPr>
                <w:rFonts w:hint="default"/>
                <w:lang w:val="fr-FR"/>
              </w:rPr>
            </w:pPr>
            <w:r>
              <w:rPr>
                <w:rFonts w:hint="default"/>
                <w:sz w:val="20"/>
                <w:szCs w:val="20"/>
                <w:lang w:val="fr-FR"/>
              </w:rPr>
              <w:t>MIT</w:t>
            </w:r>
          </w:p>
        </w:tc>
      </w:tr>
      <w:tr w14:paraId="192167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0" w:type="dxa"/>
            <w:tcBorders>
              <w:top w:val="single" w:color="AAAAAA" w:sz="0" w:space="0"/>
              <w:left w:val="single" w:color="AAAAAA" w:sz="0" w:space="0"/>
              <w:bottom w:val="single" w:color="AAAAAA" w:sz="0" w:space="0"/>
              <w:right w:val="single" w:color="AAAAAA" w:sz="0" w:space="0"/>
            </w:tcBorders>
            <w:shd w:val="clear" w:color="auto" w:fill="E8EEF4"/>
            <w:tcMar>
              <w:top w:w="60" w:type="dxa"/>
              <w:left w:w="100" w:type="dxa"/>
              <w:bottom w:w="60" w:type="dxa"/>
              <w:right w:w="100" w:type="dxa"/>
            </w:tcMar>
          </w:tcPr>
          <w:p w14:paraId="6FE4DAA9">
            <w:r>
              <w:rPr>
                <w:b/>
                <w:bCs/>
                <w:sz w:val="20"/>
                <w:szCs w:val="20"/>
              </w:rPr>
              <w:t>Computing platforms / Operating Systems</w:t>
            </w:r>
          </w:p>
        </w:tc>
        <w:tc>
          <w:tcPr>
            <w:tcW w:w="5435" w:type="dxa"/>
            <w:tcBorders>
              <w:top w:val="single" w:color="AAAAAA" w:sz="0" w:space="0"/>
              <w:left w:val="single" w:color="AAAAAA" w:sz="0" w:space="0"/>
              <w:bottom w:val="single" w:color="AAAAAA" w:sz="0" w:space="0"/>
              <w:right w:val="single" w:color="AAAAAA" w:sz="0" w:space="0"/>
            </w:tcBorders>
            <w:shd w:val="clear" w:color="auto" w:fill="E8EEF4"/>
            <w:tcMar>
              <w:top w:w="60" w:type="dxa"/>
              <w:left w:w="100" w:type="dxa"/>
              <w:bottom w:w="60" w:type="dxa"/>
              <w:right w:w="100" w:type="dxa"/>
            </w:tcMar>
          </w:tcPr>
          <w:p w14:paraId="0C814A48">
            <w:r>
              <w:rPr>
                <w:rFonts w:hint="default" w:ascii="Times New Roman" w:hAnsi="Times New Roman" w:eastAsia="SimSun" w:cs="Times New Roman"/>
                <w:b w:val="0"/>
                <w:bCs w:val="0"/>
                <w:sz w:val="20"/>
                <w:szCs w:val="20"/>
              </w:rPr>
              <w:t>Web-based (cross-platform)</w:t>
            </w:r>
            <w:r>
              <w:rPr>
                <w:rFonts w:hint="default" w:ascii="Times New Roman" w:hAnsi="Times New Roman" w:eastAsia="SimSun" w:cs="Times New Roman"/>
                <w:b w:val="0"/>
                <w:bCs w:val="0"/>
                <w:sz w:val="20"/>
                <w:szCs w:val="20"/>
                <w:lang w:val="fr-FR"/>
              </w:rPr>
              <w:t>:</w:t>
            </w:r>
            <w:r>
              <w:rPr>
                <w:rFonts w:hint="default" w:ascii="Times New Roman" w:hAnsi="Times New Roman" w:eastAsia="SimSun" w:cs="Times New Roman"/>
                <w:b w:val="0"/>
                <w:bCs w:val="0"/>
                <w:sz w:val="20"/>
                <w:szCs w:val="20"/>
              </w:rPr>
              <w:t>Chrome, Firefox, Edge, Safari</w:t>
            </w:r>
          </w:p>
        </w:tc>
      </w:tr>
      <w:tr w14:paraId="2C9467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0A04480B">
            <w:r>
              <w:rPr>
                <w:b/>
                <w:bCs/>
                <w:sz w:val="20"/>
                <w:szCs w:val="20"/>
              </w:rPr>
              <w:t>Installation requirements &amp; dependencies</w:t>
            </w:r>
          </w:p>
        </w:tc>
        <w:tc>
          <w:tcPr>
            <w:tcW w:w="5435"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1DD98F81">
            <w:r>
              <w:rPr>
                <w:rFonts w:hint="default" w:ascii="Times New Roman" w:hAnsi="Times New Roman" w:eastAsia="SimSun" w:cs="Times New Roman"/>
                <w:sz w:val="20"/>
                <w:szCs w:val="20"/>
              </w:rPr>
              <w:t>Node.js &gt;= 18, npm install. See README.md for full setup instructions.</w:t>
            </w:r>
          </w:p>
        </w:tc>
      </w:tr>
      <w:tr w14:paraId="77225E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0" w:type="dxa"/>
            <w:tcBorders>
              <w:top w:val="single" w:color="AAAAAA" w:sz="0" w:space="0"/>
              <w:left w:val="single" w:color="AAAAAA" w:sz="0" w:space="0"/>
              <w:bottom w:val="single" w:color="AAAAAA" w:sz="0" w:space="0"/>
              <w:right w:val="single" w:color="AAAAAA" w:sz="0" w:space="0"/>
            </w:tcBorders>
            <w:shd w:val="clear" w:color="auto" w:fill="E8EEF4"/>
            <w:tcMar>
              <w:top w:w="60" w:type="dxa"/>
              <w:left w:w="100" w:type="dxa"/>
              <w:bottom w:w="60" w:type="dxa"/>
              <w:right w:w="100" w:type="dxa"/>
            </w:tcMar>
          </w:tcPr>
          <w:p w14:paraId="2CF90EE9">
            <w:r>
              <w:rPr>
                <w:b/>
                <w:bCs/>
                <w:sz w:val="20"/>
                <w:szCs w:val="20"/>
              </w:rPr>
              <w:t>Link to user manual</w:t>
            </w:r>
          </w:p>
        </w:tc>
        <w:tc>
          <w:tcPr>
            <w:tcW w:w="5435" w:type="dxa"/>
            <w:tcBorders>
              <w:top w:val="single" w:color="AAAAAA" w:sz="0" w:space="0"/>
              <w:left w:val="single" w:color="AAAAAA" w:sz="0" w:space="0"/>
              <w:bottom w:val="single" w:color="AAAAAA" w:sz="0" w:space="0"/>
              <w:right w:val="single" w:color="AAAAAA" w:sz="0" w:space="0"/>
            </w:tcBorders>
            <w:shd w:val="clear" w:color="auto" w:fill="E8EEF4"/>
            <w:tcMar>
              <w:top w:w="60" w:type="dxa"/>
              <w:left w:w="100" w:type="dxa"/>
              <w:bottom w:w="60" w:type="dxa"/>
              <w:right w:w="100" w:type="dxa"/>
            </w:tcMar>
          </w:tcPr>
          <w:p w14:paraId="4A8D2CF3">
            <w:pPr>
              <w:rPr>
                <w:rFonts w:hint="default" w:ascii="Times New Roman" w:hAnsi="Times New Roman" w:cs="Times New Roman"/>
                <w:sz w:val="20"/>
                <w:szCs w:val="20"/>
              </w:rPr>
            </w:pPr>
            <w:r>
              <w:rPr>
                <w:rFonts w:hint="default" w:ascii="Times New Roman" w:hAnsi="Times New Roman" w:eastAsia="SimSun" w:cs="Times New Roman"/>
                <w:sz w:val="20"/>
                <w:szCs w:val="20"/>
              </w:rPr>
              <w:t>https://github.com/Yahye-tiyib/Projet_Data_mining/blob/main/README.md</w:t>
            </w:r>
          </w:p>
        </w:tc>
      </w:tr>
      <w:tr w14:paraId="5646E0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464FD174">
            <w:r>
              <w:rPr>
                <w:b/>
                <w:bCs/>
                <w:sz w:val="20"/>
                <w:szCs w:val="20"/>
              </w:rPr>
              <w:t>Support email for questions</w:t>
            </w:r>
          </w:p>
        </w:tc>
        <w:tc>
          <w:tcPr>
            <w:tcW w:w="5435"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325FA828">
            <w:r>
              <w:rPr>
                <w:sz w:val="20"/>
                <w:szCs w:val="20"/>
              </w:rPr>
              <w:t>kadidjaabdoumisso@gmail.com</w:t>
            </w:r>
          </w:p>
        </w:tc>
      </w:tr>
    </w:tbl>
    <w:p w14:paraId="4E22E7FE">
      <w:pPr>
        <w:spacing w:after="60"/>
      </w:pPr>
    </w:p>
    <w:p w14:paraId="5ACD4D5E">
      <w:pPr>
        <w:pBdr>
          <w:bottom w:val="single" w:color="003366" w:sz="6" w:space="1"/>
        </w:pBdr>
        <w:spacing w:before="240" w:after="120"/>
      </w:pPr>
      <w:r>
        <w:rPr>
          <w:b/>
          <w:bCs/>
          <w:sz w:val="26"/>
          <w:szCs w:val="26"/>
        </w:rPr>
        <w:t>1. Motivation and Significance</w:t>
      </w:r>
    </w:p>
    <w:p w14:paraId="3B8CF6AE">
      <w:pPr>
        <w:spacing w:after="120"/>
      </w:pPr>
      <w:r>
        <w:t>Weekly rural markets, known locally as souks, constitute a fundamental pillar of food distribution across Morocco and the broader Maghreb region. These informal marketplaces serve millions of households, particularly in peri-urban and rural areas where formal retail infrastructure remains limited. Despite their central economic role, souk markets operate with minimal price transparency: vendors set prices freely and unilaterally, price information is not systematically recorded, and no reliable mechanism exists to track price evolution over time or across geographic regions [1].</w:t>
      </w:r>
    </w:p>
    <w:p w14:paraId="3767D3CF">
      <w:pPr>
        <w:spacing w:after="60"/>
      </w:pPr>
    </w:p>
    <w:p w14:paraId="6901395F">
      <w:pPr>
        <w:spacing w:after="120"/>
      </w:pPr>
      <w:r>
        <w:t>This opacity generates significant socioeconomic consequences. Consumers, especially tourists and first-time visitors, are frequently charged above-market prices without recourse. Marginalized communities who depend on souks for basic food needs face heightened exposure to inflationary shocks that go undetected by official statistical channels. Researchers and public institutions seeking to measure local food inflation lack ground-truth data at the granularity of the individual market transaction [2].</w:t>
      </w:r>
    </w:p>
    <w:p w14:paraId="03E26BC2">
      <w:pPr>
        <w:spacing w:after="60"/>
      </w:pPr>
    </w:p>
    <w:p w14:paraId="09F15543">
      <w:pPr>
        <w:spacing w:after="120"/>
      </w:pPr>
      <w:r>
        <w:t>The widespread adoption of smartphones with integrated GPS capabilities among Moroccan citizens presents an unprecedented opportunity to address this data gap through participatory sensing. Crowdsourcing platforms have demonstrated their effectiveness in monitoring environmental conditions, urban mobility, and commodity prices in contexts where traditional data collection is impractical or prohibitively expensive [3,4]. However, no dedicated, open-source application targets the specific data structure, geographic granularity, and analytical needs of souk price monitoring in the Moroccan context.</w:t>
      </w:r>
    </w:p>
    <w:p w14:paraId="72C0B6D7">
      <w:pPr>
        <w:spacing w:after="60"/>
      </w:pPr>
    </w:p>
    <w:p w14:paraId="4919CEA4">
      <w:pPr>
        <w:spacing w:after="120"/>
      </w:pPr>
      <w:r>
        <w:t>Souk-Data-Mining addresses this gap by providing a lightweight, participatory web application through which citizens can contribute food price observations in real time. The platform aggregates these observations into a structured database, applies statistical methods for anomaly detection, and exposes the results through interactive geospatial and temporal visualizations. By making souk price dynamics visible and analyzable, the platform serves citizens seeking fair prices, researchers studying informal market economics, and public institutions responsible for food security and inflation policy.</w:t>
      </w:r>
    </w:p>
    <w:p w14:paraId="3EFD8ED4">
      <w:pPr>
        <w:spacing w:after="60"/>
      </w:pPr>
    </w:p>
    <w:p w14:paraId="155F30C4">
      <w:pPr>
        <w:pBdr>
          <w:bottom w:val="single" w:color="003366" w:sz="6" w:space="1"/>
        </w:pBdr>
        <w:spacing w:before="240" w:after="120"/>
      </w:pPr>
      <w:r>
        <w:rPr>
          <w:b/>
          <w:bCs/>
          <w:sz w:val="26"/>
          <w:szCs w:val="26"/>
        </w:rPr>
        <w:t>2. Software Description</w:t>
      </w:r>
    </w:p>
    <w:p w14:paraId="5A3142FD">
      <w:pPr>
        <w:spacing w:before="180" w:after="80"/>
      </w:pPr>
      <w:r>
        <w:rPr>
          <w:b/>
          <w:bCs/>
          <w:i/>
          <w:iCs/>
        </w:rPr>
        <w:t>2.1 Software Architecture</w:t>
      </w:r>
    </w:p>
    <w:p w14:paraId="6C2C2981">
      <w:pPr>
        <w:spacing w:after="120"/>
      </w:pPr>
      <w:r>
        <w:t>Souk-Data-Mining is implemented as a full-stack web application using Next.js, which provides both the React-based frontend and the serverless API routes composing the backend layer. This unified framework enables rapid deployment on edge computing platforms such as Vercel without requiring a dedicated server infrastructure, ensuring cost-effective scalability appropriate for a civic-technology project.</w:t>
      </w:r>
    </w:p>
    <w:p w14:paraId="55DF8F9C">
      <w:pPr>
        <w:spacing w:after="60"/>
      </w:pPr>
    </w:p>
    <w:p w14:paraId="30F9E8FA">
      <w:pPr>
        <w:spacing w:after="120"/>
      </w:pPr>
      <w:r>
        <w:t>The architecture follows a three-tier model. The presentation layer is built with React components and styled using Tailwind CSS, delivering a responsive interface accessible on mobile devices</w:t>
      </w:r>
      <w:r>
        <w:rPr>
          <w:rFonts w:hint="default"/>
          <w:lang w:val="fr-FR"/>
        </w:rPr>
        <w:t xml:space="preserve">, </w:t>
      </w:r>
      <w:r>
        <w:t>critical for in-market data entry. The application logic layer, implemented as Next.js API routes, handles data ingestion, validation, and statistical processing. The persistence layer uses a lightweight relational database (SQLite) for structured storage of price records, with geographic indexing enabled through the PostGIS extension to support spatial queries.</w:t>
      </w:r>
    </w:p>
    <w:p w14:paraId="316FA462">
      <w:pPr>
        <w:spacing w:after="60"/>
      </w:pPr>
    </w:p>
    <w:p w14:paraId="42DCCA1B">
      <w:pPr>
        <w:spacing w:after="120"/>
      </w:pPr>
      <w:r>
        <w:t>Price observations submitted by users are transmitted via HTTPS POST requests to the API layer, which performs input validation (product name normalization, coordinate bounds checking, price range sanity checks) before persisting records. Data retrieval for dashboard rendering uses server-side aggregation queries to compute moving averages, regional medians, and anomaly scores prior to JSON serialization, minimizing client-side computation requirements</w:t>
      </w:r>
      <w:r>
        <w:rPr>
          <w:rFonts w:hint="default"/>
          <w:lang w:val="fr-FR"/>
        </w:rPr>
        <w:t>, as illustrated in Fig.1</w:t>
      </w:r>
      <w:r>
        <w:t>.</w:t>
      </w:r>
    </w:p>
    <w:p w14:paraId="2CF22974">
      <w:pPr>
        <w:spacing w:after="60"/>
        <w:rPr>
          <w:rFonts w:hint="default"/>
          <w:lang w:val="fr-FR"/>
        </w:rPr>
      </w:pPr>
      <w:r>
        <w:rPr>
          <w:rFonts w:hint="default"/>
          <w:lang w:val="fr-FR"/>
        </w:rPr>
        <w:drawing>
          <wp:inline distT="0" distB="0" distL="114300" distR="114300">
            <wp:extent cx="5948680" cy="4984115"/>
            <wp:effectExtent l="0" t="0" r="0" b="0"/>
            <wp:docPr id="1" name="Image 1" descr="souk_architecture_fi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descr="souk_architecture_final"/>
                    <pic:cNvPicPr>
                      <a:picLocks noChangeAspect="1"/>
                    </pic:cNvPicPr>
                  </pic:nvPicPr>
                  <pic:blipFill>
                    <a:blip r:embed="rId4"/>
                    <a:stretch>
                      <a:fillRect/>
                    </a:stretch>
                  </pic:blipFill>
                  <pic:spPr>
                    <a:xfrm>
                      <a:off x="0" y="0"/>
                      <a:ext cx="5948680" cy="4984115"/>
                    </a:xfrm>
                    <a:prstGeom prst="rect">
                      <a:avLst/>
                    </a:prstGeom>
                  </pic:spPr>
                </pic:pic>
              </a:graphicData>
            </a:graphic>
          </wp:inline>
        </w:drawing>
      </w:r>
    </w:p>
    <w:p w14:paraId="0ABBA560">
      <w:pPr>
        <w:spacing w:after="60"/>
        <w:rPr>
          <w:rFonts w:hint="default" w:ascii="Times New Roman" w:hAnsi="Times New Roman" w:eastAsia="SimSun" w:cs="Times New Roman"/>
          <w:sz w:val="22"/>
          <w:szCs w:val="22"/>
        </w:rPr>
      </w:pPr>
      <w:r>
        <w:rPr>
          <w:rFonts w:hint="default" w:ascii="Times New Roman" w:hAnsi="Times New Roman" w:cs="Times New Roman"/>
          <w:sz w:val="22"/>
          <w:szCs w:val="22"/>
          <w:lang w:val="fr-FR"/>
        </w:rPr>
        <w:t xml:space="preserve">                                                  </w:t>
      </w:r>
      <w:r>
        <w:rPr>
          <w:rFonts w:hint="default" w:ascii="Times New Roman" w:hAnsi="Times New Roman" w:eastAsia="SimSun" w:cs="Times New Roman"/>
          <w:sz w:val="22"/>
          <w:szCs w:val="22"/>
        </w:rPr>
        <w:t>Fig. 1. System architecture of Souk-Data-Mining.</w:t>
      </w:r>
    </w:p>
    <w:p w14:paraId="2064A36A">
      <w:pPr>
        <w:spacing w:after="60"/>
        <w:rPr>
          <w:rFonts w:hint="default" w:ascii="Times New Roman" w:hAnsi="Times New Roman" w:eastAsia="SimSun" w:cs="Times New Roman"/>
          <w:sz w:val="22"/>
          <w:szCs w:val="22"/>
        </w:rPr>
      </w:pPr>
    </w:p>
    <w:p w14:paraId="76B66E46">
      <w:pPr>
        <w:spacing w:after="60"/>
        <w:rPr>
          <w:rFonts w:hint="default" w:ascii="Times New Roman" w:hAnsi="Times New Roman" w:eastAsia="SimSun" w:cs="Times New Roman"/>
          <w:sz w:val="22"/>
          <w:szCs w:val="22"/>
          <w:lang w:val="fr-FR"/>
        </w:rPr>
      </w:pPr>
    </w:p>
    <w:p w14:paraId="05C6F7A3">
      <w:pPr>
        <w:spacing w:before="180" w:after="80"/>
      </w:pPr>
      <w:r>
        <w:rPr>
          <w:b/>
          <w:bCs/>
          <w:i/>
          <w:iCs/>
        </w:rPr>
        <w:t>2.2 Data Collection Module</w:t>
      </w:r>
    </w:p>
    <w:p w14:paraId="126BE3DD">
      <w:pPr>
        <w:pStyle w:val="15"/>
        <w:keepNext w:val="0"/>
        <w:keepLines w:val="0"/>
        <w:widowControl/>
        <w:suppressLineNumbers w:val="0"/>
        <w:spacing w:before="0" w:beforeAutospacing="1" w:after="0" w:afterAutospacing="1"/>
        <w:ind w:left="0" w:right="0"/>
        <w:rPr>
          <w:rFonts w:hint="default" w:ascii="Times New Roman" w:hAnsi="Times New Roman" w:cs="Times New Roman"/>
          <w:i w:val="0"/>
          <w:iCs w:val="0"/>
        </w:rPr>
      </w:pPr>
      <w:r>
        <w:rPr>
          <w:rStyle w:val="12"/>
          <w:rFonts w:hint="default" w:ascii="Times New Roman" w:hAnsi="Times New Roman" w:cs="Times New Roman"/>
          <w:i w:val="0"/>
          <w:iCs w:val="0"/>
        </w:rPr>
        <w:t>The data collection interface presents users with a minimal form: product name selected from a curated food taxonomy, price in Moroccan Dirhams (MAD), and location. The Geolocation API is invoked upon form load to retrieve the user's GPS coordinates, which are reverse-geocoded to a human-readable commune name for display and confirmation. Users can override the automatic location if needed.</w:t>
      </w:r>
    </w:p>
    <w:p w14:paraId="2F77ED2A">
      <w:pPr>
        <w:pStyle w:val="15"/>
        <w:keepNext w:val="0"/>
        <w:keepLines w:val="0"/>
        <w:widowControl/>
        <w:suppressLineNumbers w:val="0"/>
        <w:spacing w:before="0" w:beforeAutospacing="1" w:after="0" w:afterAutospacing="1"/>
        <w:ind w:left="0" w:right="0"/>
        <w:rPr>
          <w:rFonts w:hint="default" w:ascii="Times New Roman" w:hAnsi="Times New Roman" w:cs="Times New Roman"/>
          <w:i w:val="0"/>
          <w:iCs w:val="0"/>
        </w:rPr>
      </w:pPr>
      <w:r>
        <w:rPr>
          <w:rStyle w:val="12"/>
          <w:rFonts w:hint="default" w:ascii="Times New Roman" w:hAnsi="Times New Roman" w:cs="Times New Roman"/>
          <w:i w:val="0"/>
          <w:iCs w:val="0"/>
        </w:rPr>
        <w:t>Prior to submitting any price observation, users must register and authenticate using a username, email address, and password. Upon registration, all accounts are assigned the User role by default. Administrator privileges are granted exclusively by existing administrators through the administration panel. Authentication ensures data traceability and enables the platform to enforce a limit of one price observation per product per day per user.</w:t>
      </w:r>
    </w:p>
    <w:p w14:paraId="65B39C10">
      <w:pPr>
        <w:pStyle w:val="15"/>
        <w:keepNext w:val="0"/>
        <w:keepLines w:val="0"/>
        <w:widowControl/>
        <w:suppressLineNumbers w:val="0"/>
        <w:spacing w:before="0" w:beforeAutospacing="1" w:after="0" w:afterAutospacing="1"/>
        <w:ind w:left="0" w:right="0"/>
        <w:rPr>
          <w:rFonts w:hint="default" w:ascii="Times New Roman" w:hAnsi="Times New Roman" w:cs="Times New Roman"/>
          <w:i w:val="0"/>
          <w:iCs w:val="0"/>
          <w:lang w:val="fr-FR"/>
        </w:rPr>
      </w:pPr>
      <w:r>
        <w:rPr>
          <w:rStyle w:val="12"/>
          <w:rFonts w:hint="default" w:ascii="Times New Roman" w:hAnsi="Times New Roman" w:cs="Times New Roman"/>
          <w:i w:val="0"/>
          <w:iCs w:val="0"/>
        </w:rPr>
        <w:t>Each submitted record is stored with the following schema: a unique record identifier, product name (normalized), price (float), latitude and longitude coordinates, reverse-geocoded region and commune, submission timestamp (UTC), and the authenticated user identifier</w:t>
      </w:r>
      <w:r>
        <w:rPr>
          <w:rStyle w:val="12"/>
          <w:rFonts w:hint="default" w:ascii="Times New Roman" w:hAnsi="Times New Roman" w:cs="Times New Roman"/>
          <w:i w:val="0"/>
          <w:iCs w:val="0"/>
          <w:lang w:val="fr-FR"/>
        </w:rPr>
        <w:t>.</w:t>
      </w:r>
    </w:p>
    <w:p w14:paraId="694C937B">
      <w:pPr>
        <w:spacing w:before="180" w:after="80"/>
      </w:pPr>
      <w:r>
        <w:rPr>
          <w:rFonts w:ascii="Times New Roman" w:hAnsi="Times New Roman" w:eastAsia="Times New Roman" w:cs="Times New Roman"/>
          <w:b/>
          <w:bCs/>
          <w:i/>
          <w:iCs/>
          <w:sz w:val="24"/>
          <w:szCs w:val="24"/>
        </w:rPr>
        <w:t>2.3 Analytical Engine</w:t>
      </w:r>
    </w:p>
    <w:p w14:paraId="131D8F19">
      <w:pPr>
        <w:spacing w:after="120"/>
        <w:jc w:val="both"/>
      </w:pPr>
      <w:r>
        <w:rPr>
          <w:rFonts w:ascii="Times New Roman" w:hAnsi="Times New Roman" w:eastAsia="Times New Roman" w:cs="Times New Roman"/>
          <w:sz w:val="24"/>
          <w:szCs w:val="24"/>
        </w:rPr>
        <w:t>The analytical engine computes four categories of derived metrics from the raw price observations. First, temporal aggregations compute weekly and monthly moving averages per product per region, enabling trend analysis and inflation rate estimation at the subnational level. Second, spatial aggregations compute the median price and interquartile range for each product across market locations, supporting regional price comparison.</w:t>
      </w:r>
    </w:p>
    <w:p w14:paraId="5753C372">
      <w:pPr>
        <w:spacing w:after="60"/>
      </w:pPr>
    </w:p>
    <w:p w14:paraId="79A9AD08">
      <w:pPr>
        <w:spacing w:after="120"/>
        <w:jc w:val="both"/>
      </w:pPr>
      <w:r>
        <w:rPr>
          <w:rFonts w:ascii="Times New Roman" w:hAnsi="Times New Roman" w:eastAsia="Times New Roman" w:cs="Times New Roman"/>
          <w:sz w:val="24"/>
          <w:szCs w:val="24"/>
        </w:rPr>
        <w:t>Third, the anomaly detection module applies an adapted z-score method to flag individual price observations that deviate significantly from the local rolling distribution. For each product p in region r, the anomaly score A(x) is defined as:</w:t>
      </w:r>
    </w:p>
    <w:p w14:paraId="40544A84">
      <w:pPr>
        <w:spacing w:before="80" w:after="80"/>
        <w:jc w:val="center"/>
      </w:pPr>
      <w:r>
        <w:rPr>
          <w:rFonts w:ascii="Times New Roman" w:hAnsi="Times New Roman" w:eastAsia="Times New Roman" w:cs="Times New Roman"/>
          <w:i/>
          <w:iCs/>
          <w:sz w:val="24"/>
          <w:szCs w:val="24"/>
        </w:rPr>
        <w:t>A(x) = |x − μₚⱼ| / σₚⱼ</w:t>
      </w:r>
    </w:p>
    <w:p w14:paraId="4A17F022">
      <w:pPr>
        <w:spacing w:after="120"/>
        <w:jc w:val="both"/>
      </w:pPr>
      <w:r>
        <w:rPr>
          <w:rFonts w:ascii="Times New Roman" w:hAnsi="Times New Roman" w:eastAsia="Times New Roman" w:cs="Times New Roman"/>
          <w:sz w:val="24"/>
          <w:szCs w:val="24"/>
        </w:rPr>
        <w:t>where μₚⱼ and σₚⱼ are the rolling mean and standard deviation computed over a configurable lookback window (default: 30 days). Observations with A(x) &gt; 2.5 are flagged as anomalous and highlighted in the dashboard visualizations. Fourth, a data quality scoring module assigns credibility weights to each observation based on the submission density in the surrounding spatiotemporal neighborhood, reducing the influence of isolated outliers on aggregate statistics.</w:t>
      </w:r>
    </w:p>
    <w:p w14:paraId="7C525927">
      <w:pPr>
        <w:spacing w:after="60"/>
      </w:pPr>
    </w:p>
    <w:p w14:paraId="4B1E0B70">
      <w:pPr>
        <w:spacing w:before="180" w:after="80"/>
      </w:pPr>
      <w:r>
        <w:rPr>
          <w:rFonts w:ascii="Times New Roman" w:hAnsi="Times New Roman" w:eastAsia="Times New Roman" w:cs="Times New Roman"/>
          <w:b/>
          <w:bCs/>
          <w:i/>
          <w:iCs/>
          <w:sz w:val="24"/>
          <w:szCs w:val="24"/>
        </w:rPr>
        <w:t>2.4 Visualization Dashboard</w:t>
      </w:r>
    </w:p>
    <w:p w14:paraId="0E916E38">
      <w:pPr>
        <w:pStyle w:val="15"/>
        <w:keepNext w:val="0"/>
        <w:keepLines w:val="0"/>
        <w:widowControl/>
        <w:suppressLineNumbers w:val="0"/>
        <w:spacing w:before="0" w:beforeAutospacing="1" w:after="0" w:afterAutospacing="1"/>
        <w:ind w:left="0" w:right="0"/>
        <w:rPr>
          <w:i w:val="0"/>
          <w:iCs w:val="0"/>
        </w:rPr>
      </w:pPr>
      <w:r>
        <w:rPr>
          <w:rStyle w:val="12"/>
          <w:i w:val="0"/>
          <w:iCs w:val="0"/>
        </w:rPr>
        <w:t>The visualization layer combines D3.js interactive charts and a Leaflet-based interactive map, providing dynamic graphics that update as users apply filters.</w:t>
      </w:r>
    </w:p>
    <w:p w14:paraId="606829B2">
      <w:pPr>
        <w:pStyle w:val="15"/>
        <w:keepNext w:val="0"/>
        <w:keepLines w:val="0"/>
        <w:widowControl/>
        <w:suppressLineNumbers w:val="0"/>
        <w:spacing w:before="0" w:beforeAutospacing="1" w:after="0" w:afterAutospacing="1"/>
        <w:ind w:left="0" w:right="0"/>
        <w:rPr>
          <w:i w:val="0"/>
          <w:iCs w:val="0"/>
        </w:rPr>
      </w:pPr>
      <w:r>
        <w:rPr>
          <w:rStyle w:val="12"/>
          <w:i w:val="0"/>
          <w:iCs w:val="0"/>
        </w:rPr>
        <w:t>The Price Trend View displays the temporal evolution of prices for a selected product, rendered as a bar chart with color-coded bars indicating price level</w:t>
      </w:r>
      <w:r>
        <w:rPr>
          <w:rStyle w:val="12"/>
          <w:rFonts w:hint="default"/>
          <w:i w:val="0"/>
          <w:iCs w:val="0"/>
          <w:lang w:val="fr-FR"/>
        </w:rPr>
        <w:t xml:space="preserve">, </w:t>
      </w:r>
      <w:r>
        <w:rPr>
          <w:rStyle w:val="12"/>
          <w:i w:val="0"/>
          <w:iCs w:val="0"/>
        </w:rPr>
        <w:t>red for high prices, orange for moderate prices, and green for low prices relative to the local average. This view allows users to visually track price fluctuations over time.</w:t>
      </w:r>
    </w:p>
    <w:p w14:paraId="3C3097D5">
      <w:pPr>
        <w:pStyle w:val="15"/>
        <w:keepNext w:val="0"/>
        <w:keepLines w:val="0"/>
        <w:widowControl/>
        <w:suppressLineNumbers w:val="0"/>
        <w:spacing w:before="0" w:beforeAutospacing="1" w:after="0" w:afterAutospacing="1"/>
        <w:ind w:left="0" w:right="0"/>
        <w:rPr>
          <w:i w:val="0"/>
          <w:iCs w:val="0"/>
        </w:rPr>
      </w:pPr>
      <w:r>
        <w:rPr>
          <w:rStyle w:val="12"/>
          <w:i w:val="0"/>
          <w:iCs w:val="0"/>
        </w:rPr>
        <w:t>The Regional Map View renders an interactive map built with Leaflet and OpenStreetMap, displaying geolocated price observations as color-coded markers. Each marker reflects the submitted price level relative to other observations: red markers indicate above-average prices, orange markers indicate moderate prices, and green markers indicate below-average prices. Hovering over a marker displays the last recorded price and the submission location.</w:t>
      </w:r>
    </w:p>
    <w:p w14:paraId="63BB2479">
      <w:pPr>
        <w:pStyle w:val="15"/>
        <w:keepNext w:val="0"/>
        <w:keepLines w:val="0"/>
        <w:widowControl/>
        <w:suppressLineNumbers w:val="0"/>
        <w:spacing w:before="0" w:beforeAutospacing="1" w:after="0" w:afterAutospacing="1"/>
        <w:ind w:left="0" w:right="0"/>
        <w:rPr>
          <w:i w:val="0"/>
          <w:iCs w:val="0"/>
        </w:rPr>
      </w:pPr>
      <w:r>
        <w:rPr>
          <w:rStyle w:val="12"/>
          <w:i w:val="0"/>
          <w:iCs w:val="0"/>
        </w:rPr>
        <w:t>The City Price Comparator allows users to select two cities and compare the current price of a selected product between them, displaying the price difference and helping consumers identify the most affordable market location.</w:t>
      </w:r>
    </w:p>
    <w:p w14:paraId="79E6CA1A">
      <w:pPr>
        <w:spacing w:after="6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The dashboard additionally displays four KPI cards showing the current price, the previous week's price, the weekly price variation percentage, and the total number of observations for the selected product. An automated analysis module interprets these indicators and generates consumer-oriented recommendations, such as identifying favorable buying conditions based on recent price trends.</w:t>
      </w:r>
    </w:p>
    <w:p w14:paraId="32877CBC">
      <w:pPr>
        <w:spacing w:after="60"/>
        <w:rPr>
          <w:rFonts w:hint="default" w:ascii="Times New Roman" w:hAnsi="Times New Roman" w:eastAsia="SimSun" w:cs="Times New Roman"/>
          <w:sz w:val="24"/>
          <w:szCs w:val="24"/>
        </w:rPr>
      </w:pPr>
    </w:p>
    <w:p w14:paraId="6B8581CF">
      <w:pPr>
        <w:spacing w:after="60"/>
        <w:rPr>
          <w:rFonts w:hint="default" w:ascii="Times New Roman" w:hAnsi="Times New Roman" w:cs="Times New Roman"/>
          <w:i w:val="0"/>
          <w:iCs w:val="0"/>
        </w:rPr>
      </w:pPr>
      <w:r>
        <w:rPr>
          <w:rStyle w:val="12"/>
          <w:rFonts w:hint="default" w:ascii="Times New Roman" w:hAnsi="Times New Roman" w:eastAsia="SimSun" w:cs="Times New Roman"/>
          <w:b/>
          <w:bCs/>
          <w:i/>
          <w:iCs/>
          <w:sz w:val="24"/>
          <w:szCs w:val="24"/>
        </w:rPr>
        <w:t>2.5 Administration Panel</w:t>
      </w:r>
      <w:r>
        <w:rPr>
          <w:rFonts w:hint="default" w:ascii="Times New Roman" w:hAnsi="Times New Roman" w:eastAsia="SimSun" w:cs="Times New Roman"/>
          <w:i w:val="0"/>
          <w:iCs w:val="0"/>
          <w:sz w:val="24"/>
          <w:szCs w:val="24"/>
        </w:rPr>
        <w:br w:type="textWrapping"/>
      </w:r>
      <w:r>
        <w:rPr>
          <w:rStyle w:val="12"/>
          <w:rFonts w:hint="default" w:ascii="Times New Roman" w:hAnsi="Times New Roman" w:eastAsia="SimSun" w:cs="Times New Roman"/>
          <w:i w:val="0"/>
          <w:iCs w:val="0"/>
          <w:sz w:val="24"/>
          <w:szCs w:val="24"/>
        </w:rPr>
        <w:t>The platform includes a role-based administration interface accessible to authorized administrators. The admin dashboard provides real-time statistics including total registered users, product count, submitted observations, and pending validations. Administrators can manage user accounts, assign roles (Administrator/User), monitor individual contribution counts, and remove accounts when necessary. The product management module allows administrators to add, update, or remove products from the platform's food taxonomy, ensuring the relevance and accuracy of the available product list.</w:t>
      </w:r>
    </w:p>
    <w:p w14:paraId="0C51F09E">
      <w:pPr>
        <w:pBdr>
          <w:bottom w:val="single" w:color="003366" w:sz="6" w:space="1"/>
        </w:pBdr>
        <w:spacing w:before="240" w:after="120"/>
        <w:rPr>
          <w:rFonts w:hint="default" w:ascii="Times New Roman" w:hAnsi="Times New Roman" w:cs="Times New Roman"/>
        </w:rPr>
      </w:pPr>
      <w:r>
        <w:rPr>
          <w:rFonts w:hint="default" w:ascii="Times New Roman" w:hAnsi="Times New Roman" w:eastAsia="Times New Roman" w:cs="Times New Roman"/>
          <w:b/>
          <w:bCs/>
          <w:sz w:val="26"/>
          <w:szCs w:val="26"/>
        </w:rPr>
        <w:t>3. Illustrative Examples</w:t>
      </w:r>
    </w:p>
    <w:p w14:paraId="3C363309">
      <w:pPr>
        <w:pStyle w:val="15"/>
        <w:keepNext w:val="0"/>
        <w:keepLines w:val="0"/>
        <w:widowControl/>
        <w:suppressLineNumbers w:val="0"/>
        <w:spacing w:before="0" w:beforeAutospacing="1" w:after="0" w:afterAutospacing="1"/>
        <w:ind w:left="0" w:right="0"/>
        <w:rPr>
          <w:rStyle w:val="12"/>
          <w:rFonts w:hint="default" w:ascii="Times New Roman" w:hAnsi="Times New Roman" w:cs="Times New Roman"/>
          <w:i w:val="0"/>
          <w:iCs w:val="0"/>
          <w:lang w:val="fr-FR"/>
        </w:rPr>
      </w:pPr>
      <w:r>
        <w:rPr>
          <w:rStyle w:val="12"/>
          <w:rFonts w:hint="default" w:ascii="Times New Roman" w:hAnsi="Times New Roman" w:cs="Times New Roman"/>
          <w:i w:val="0"/>
          <w:iCs w:val="0"/>
        </w:rPr>
        <w:t>To illustrate the platform's operation, consider the following scenario. A citizen attending the weekly souk in El Jadida first creates an account using their email and username, then logs in to access the contribution features. They navigate to the price entry form, select 'Tomates' from the product list, enter '</w:t>
      </w:r>
      <w:r>
        <w:rPr>
          <w:rStyle w:val="12"/>
          <w:rFonts w:hint="default" w:cs="Times New Roman"/>
          <w:i w:val="0"/>
          <w:iCs w:val="0"/>
          <w:lang w:val="fr-FR"/>
        </w:rPr>
        <w:t>7</w:t>
      </w:r>
      <w:r>
        <w:rPr>
          <w:rStyle w:val="12"/>
          <w:rFonts w:hint="default" w:ascii="Times New Roman" w:hAnsi="Times New Roman" w:cs="Times New Roman"/>
          <w:i w:val="0"/>
          <w:iCs w:val="0"/>
        </w:rPr>
        <w:t xml:space="preserve">' as the price in MAD/kg, and confirm their GPS location </w:t>
      </w:r>
      <w:r>
        <w:rPr>
          <w:rStyle w:val="12"/>
          <w:rFonts w:hint="default" w:ascii="Times New Roman" w:hAnsi="Times New Roman" w:cs="Times New Roman"/>
          <w:i w:val="0"/>
          <w:iCs w:val="0"/>
          <w:lang w:val="fr-FR"/>
        </w:rPr>
        <w:t>(</w:t>
      </w:r>
      <w:r>
        <w:rPr>
          <w:rStyle w:val="12"/>
          <w:rFonts w:hint="default" w:ascii="Times New Roman" w:hAnsi="Times New Roman" w:cs="Times New Roman"/>
          <w:i w:val="0"/>
          <w:iCs w:val="0"/>
        </w:rPr>
        <w:t>automatically captured by the Geolocation API</w:t>
      </w:r>
      <w:r>
        <w:rPr>
          <w:rStyle w:val="12"/>
          <w:rFonts w:hint="default" w:ascii="Times New Roman" w:hAnsi="Times New Roman" w:cs="Times New Roman"/>
          <w:i w:val="0"/>
          <w:iCs w:val="0"/>
          <w:lang w:val="fr-FR"/>
        </w:rPr>
        <w:t xml:space="preserve">) </w:t>
      </w:r>
      <w:r>
        <w:rPr>
          <w:rStyle w:val="12"/>
          <w:rFonts w:hint="default" w:ascii="Times New Roman" w:hAnsi="Times New Roman" w:cs="Times New Roman"/>
          <w:i w:val="0"/>
          <w:iCs w:val="0"/>
        </w:rPr>
        <w:t>as shown in Fig. 2. The platform enforces a limit of one price observation per product per day to ensure data quality. The record is saved to the database and immediately reflected in the dashboard.</w:t>
      </w:r>
    </w:p>
    <w:p w14:paraId="550C7F70">
      <w:pPr>
        <w:spacing w:after="6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On the analytical backend, the new observation is integrated into the recent price distribution for tomatoes. As shown in Fig. 3, the dashboard updates to display the current price (7.00 DH), the previous week's price (12.00 DH), and the weekly variation (−41.7%), alongside an automated analysis message indicating a favorable buying condition for consumers.</w:t>
      </w:r>
    </w:p>
    <w:p w14:paraId="0571CBBF">
      <w:pPr>
        <w:spacing w:after="60"/>
        <w:rPr>
          <w:rFonts w:hint="default" w:ascii="Times New Roman" w:hAnsi="Times New Roman" w:eastAsia="SimSun" w:cs="Times New Roman"/>
          <w:sz w:val="24"/>
          <w:szCs w:val="24"/>
        </w:rPr>
      </w:pPr>
    </w:p>
    <w:p w14:paraId="2D6797C4">
      <w:pPr>
        <w:spacing w:after="6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A researcher monitoring the platform uses the city price comparator, shown in Fig. 4, to cross-reference tomato prices across multiple cities. This multi-market comparison, available in near real-time, would be undetectable through traditional monthly survey-based inflation measurement methods. The interactive Leaflet map, shown in Fig. 5, displays geolocated price observations across Morocco, allowing users to visually identify regional price disparities.</w:t>
      </w:r>
    </w:p>
    <w:p w14:paraId="566199BF">
      <w:pPr>
        <w:spacing w:after="6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Platform administrators monitor data collection through a dedicated administration dashboard, shown in Fig. 6, which provides real-time statistics on users, products, and observations, and enables user and product management.</w:t>
      </w:r>
    </w:p>
    <w:p w14:paraId="460F3C93">
      <w:pPr>
        <w:spacing w:after="60"/>
        <w:rPr>
          <w:rFonts w:hint="default" w:ascii="Times New Roman" w:hAnsi="Times New Roman" w:eastAsia="SimSun" w:cs="Times New Roman"/>
          <w:sz w:val="24"/>
          <w:szCs w:val="24"/>
        </w:rPr>
      </w:pPr>
    </w:p>
    <w:p w14:paraId="449BBA80">
      <w:pPr>
        <w:spacing w:after="60"/>
        <w:rPr>
          <w:rFonts w:hint="default" w:eastAsia="SimSun" w:cs="Times New Roman"/>
          <w:sz w:val="24"/>
          <w:szCs w:val="24"/>
          <w:lang w:val="fr-FR"/>
        </w:rPr>
      </w:pPr>
      <w:r>
        <w:rPr>
          <w:rFonts w:hint="default" w:ascii="Times New Roman" w:hAnsi="Times New Roman" w:eastAsia="SimSun" w:cs="Times New Roman"/>
          <w:sz w:val="24"/>
          <w:szCs w:val="24"/>
          <w:lang w:val="fr-FR"/>
        </w:rPr>
        <w:drawing>
          <wp:inline distT="0" distB="0" distL="114300" distR="114300">
            <wp:extent cx="2581910" cy="3295015"/>
            <wp:effectExtent l="0" t="0" r="8890" b="6985"/>
            <wp:docPr id="11" name="Image 11" descr="WhatsApp Image 2026-06-22 at 01.35.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 11" descr="WhatsApp Image 2026-06-22 at 01.35.04"/>
                    <pic:cNvPicPr>
                      <a:picLocks noChangeAspect="1"/>
                    </pic:cNvPicPr>
                  </pic:nvPicPr>
                  <pic:blipFill>
                    <a:blip r:embed="rId5"/>
                    <a:stretch>
                      <a:fillRect/>
                    </a:stretch>
                  </pic:blipFill>
                  <pic:spPr>
                    <a:xfrm>
                      <a:off x="0" y="0"/>
                      <a:ext cx="2581910" cy="3295015"/>
                    </a:xfrm>
                    <a:prstGeom prst="rect">
                      <a:avLst/>
                    </a:prstGeom>
                  </pic:spPr>
                </pic:pic>
              </a:graphicData>
            </a:graphic>
          </wp:inline>
        </w:drawing>
      </w:r>
      <w:r>
        <w:rPr>
          <w:rFonts w:hint="default" w:ascii="Times New Roman" w:hAnsi="Times New Roman" w:eastAsia="SimSun" w:cs="Times New Roman"/>
          <w:sz w:val="24"/>
          <w:szCs w:val="24"/>
          <w:lang w:val="fr-FR"/>
        </w:rPr>
        <w:drawing>
          <wp:inline distT="0" distB="0" distL="114300" distR="114300">
            <wp:extent cx="2592705" cy="3261360"/>
            <wp:effectExtent l="0" t="0" r="10795" b="2540"/>
            <wp:docPr id="8" name="Image 8" descr="WhatsApp Image 2026-06-22 at 01.35.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 8" descr="WhatsApp Image 2026-06-22 at 01.35.25"/>
                    <pic:cNvPicPr>
                      <a:picLocks noChangeAspect="1"/>
                    </pic:cNvPicPr>
                  </pic:nvPicPr>
                  <pic:blipFill>
                    <a:blip r:embed="rId6"/>
                    <a:stretch>
                      <a:fillRect/>
                    </a:stretch>
                  </pic:blipFill>
                  <pic:spPr>
                    <a:xfrm>
                      <a:off x="0" y="0"/>
                      <a:ext cx="2592705" cy="3261360"/>
                    </a:xfrm>
                    <a:prstGeom prst="rect">
                      <a:avLst/>
                    </a:prstGeom>
                  </pic:spPr>
                </pic:pic>
              </a:graphicData>
            </a:graphic>
          </wp:inline>
        </w:drawing>
      </w:r>
      <w:r>
        <w:rPr>
          <w:rFonts w:hint="default" w:eastAsia="SimSun" w:cs="Times New Roman"/>
          <w:sz w:val="24"/>
          <w:szCs w:val="24"/>
          <w:lang w:val="fr-FR"/>
        </w:rPr>
        <w:t xml:space="preserve">  </w:t>
      </w:r>
    </w:p>
    <w:p w14:paraId="3A76CE87">
      <w:pPr>
        <w:spacing w:after="60"/>
        <w:rPr>
          <w:rFonts w:hint="default" w:eastAsia="SimSun" w:cs="Times New Roman"/>
          <w:sz w:val="24"/>
          <w:szCs w:val="24"/>
          <w:lang w:val="fr-FR"/>
        </w:rPr>
      </w:pPr>
    </w:p>
    <w:p w14:paraId="2AFD06AB">
      <w:pPr>
        <w:spacing w:after="60"/>
        <w:rPr>
          <w:rFonts w:hint="default" w:eastAsia="SimSun" w:cs="Times New Roman"/>
          <w:sz w:val="24"/>
          <w:szCs w:val="24"/>
          <w:lang w:val="fr-FR"/>
        </w:rPr>
      </w:pPr>
    </w:p>
    <w:p w14:paraId="3470FEB0">
      <w:pPr>
        <w:spacing w:after="60"/>
        <w:rPr>
          <w:rFonts w:hint="default" w:ascii="Times New Roman" w:hAnsi="Times New Roman" w:eastAsia="SimSun" w:cs="Times New Roman"/>
          <w:sz w:val="24"/>
          <w:szCs w:val="24"/>
          <w:lang w:val="fr-FR"/>
        </w:rPr>
      </w:pPr>
      <w:r>
        <w:rPr>
          <w:rFonts w:hint="default" w:ascii="Times New Roman" w:hAnsi="Times New Roman" w:eastAsia="SimSun" w:cs="Times New Roman"/>
          <w:sz w:val="24"/>
          <w:szCs w:val="24"/>
          <w:lang w:val="fr-FR"/>
        </w:rPr>
        <w:drawing>
          <wp:inline distT="0" distB="0" distL="114300" distR="114300">
            <wp:extent cx="6017895" cy="2557780"/>
            <wp:effectExtent l="0" t="0" r="1905" b="7620"/>
            <wp:docPr id="9" name="Image 9" descr="WhatsApp Image 2026-06-21 at 22.03.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 9" descr="WhatsApp Image 2026-06-21 at 22.03.23"/>
                    <pic:cNvPicPr>
                      <a:picLocks noChangeAspect="1"/>
                    </pic:cNvPicPr>
                  </pic:nvPicPr>
                  <pic:blipFill>
                    <a:blip r:embed="rId7"/>
                    <a:stretch>
                      <a:fillRect/>
                    </a:stretch>
                  </pic:blipFill>
                  <pic:spPr>
                    <a:xfrm>
                      <a:off x="0" y="0"/>
                      <a:ext cx="6017895" cy="2557780"/>
                    </a:xfrm>
                    <a:prstGeom prst="rect">
                      <a:avLst/>
                    </a:prstGeom>
                  </pic:spPr>
                </pic:pic>
              </a:graphicData>
            </a:graphic>
          </wp:inline>
        </w:drawing>
      </w:r>
    </w:p>
    <w:p w14:paraId="4455D64A">
      <w:pPr>
        <w:pStyle w:val="15"/>
        <w:keepNext w:val="0"/>
        <w:keepLines w:val="0"/>
        <w:widowControl/>
        <w:suppressLineNumbers w:val="0"/>
        <w:rPr>
          <w:rFonts w:hint="default" w:ascii="Times New Roman" w:hAnsi="Times New Roman" w:eastAsia="SimSun" w:cs="Times New Roman"/>
          <w:sz w:val="24"/>
          <w:szCs w:val="24"/>
          <w:lang w:val="fr-FR"/>
        </w:rPr>
      </w:pPr>
      <w:r>
        <w:rPr>
          <w:rFonts w:hint="default" w:eastAsia="SimSun" w:cs="Times New Roman"/>
          <w:sz w:val="24"/>
          <w:szCs w:val="24"/>
          <w:lang w:val="fr-FR"/>
        </w:rPr>
        <w:t xml:space="preserve">                          Fig.2.</w:t>
      </w:r>
      <w:r>
        <w:rPr>
          <w:rFonts w:hint="default" w:ascii="Times New Roman" w:hAnsi="Times New Roman" w:eastAsia="SimSun" w:cs="Times New Roman"/>
          <w:sz w:val="24"/>
          <w:szCs w:val="24"/>
          <w:lang w:val="fr-FR"/>
        </w:rPr>
        <w:t xml:space="preserve"> </w:t>
      </w:r>
      <w:r>
        <w:rPr>
          <w:rFonts w:hint="default" w:ascii="Times New Roman" w:hAnsi="Times New Roman" w:eastAsia="SimSun" w:cs="Times New Roman"/>
          <w:sz w:val="24"/>
          <w:szCs w:val="24"/>
        </w:rPr>
        <w:t>Price entry form with automatic GPS location detection.</w:t>
      </w:r>
    </w:p>
    <w:p w14:paraId="2CE5756E">
      <w:pPr>
        <w:spacing w:after="60"/>
        <w:rPr>
          <w:rFonts w:hint="default" w:ascii="Times New Roman" w:hAnsi="Times New Roman" w:eastAsia="SimSun" w:cs="Times New Roman"/>
          <w:sz w:val="24"/>
          <w:szCs w:val="24"/>
          <w:lang w:val="fr-FR"/>
        </w:rPr>
      </w:pPr>
      <w:r>
        <w:rPr>
          <w:rFonts w:hint="default" w:ascii="Times New Roman" w:hAnsi="Times New Roman" w:eastAsia="SimSun" w:cs="Times New Roman"/>
          <w:sz w:val="24"/>
          <w:szCs w:val="24"/>
          <w:lang w:val="fr-FR"/>
        </w:rPr>
        <w:drawing>
          <wp:inline distT="0" distB="0" distL="114300" distR="114300">
            <wp:extent cx="6015355" cy="2146935"/>
            <wp:effectExtent l="0" t="0" r="4445" b="12065"/>
            <wp:docPr id="10" name="Image 10" descr="WhatsApp Image 2026-06-21 at 22.0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 10" descr="WhatsApp Image 2026-06-21 at 22.02.11"/>
                    <pic:cNvPicPr>
                      <a:picLocks noChangeAspect="1"/>
                    </pic:cNvPicPr>
                  </pic:nvPicPr>
                  <pic:blipFill>
                    <a:blip r:embed="rId8"/>
                    <a:stretch>
                      <a:fillRect/>
                    </a:stretch>
                  </pic:blipFill>
                  <pic:spPr>
                    <a:xfrm>
                      <a:off x="0" y="0"/>
                      <a:ext cx="6015355" cy="2146935"/>
                    </a:xfrm>
                    <a:prstGeom prst="rect">
                      <a:avLst/>
                    </a:prstGeom>
                  </pic:spPr>
                </pic:pic>
              </a:graphicData>
            </a:graphic>
          </wp:inline>
        </w:drawing>
      </w:r>
    </w:p>
    <w:p w14:paraId="2FAADD8C">
      <w:pPr>
        <w:spacing w:after="60"/>
        <w:rPr>
          <w:rFonts w:hint="default" w:ascii="Times New Roman" w:hAnsi="Times New Roman" w:eastAsia="SimSun" w:cs="Times New Roman"/>
          <w:sz w:val="24"/>
          <w:szCs w:val="24"/>
          <w:lang w:val="fr-FR"/>
        </w:rPr>
      </w:pPr>
      <w:r>
        <w:rPr>
          <w:rFonts w:hint="default" w:eastAsia="SimSun" w:cs="Times New Roman"/>
          <w:sz w:val="24"/>
          <w:szCs w:val="24"/>
          <w:lang w:val="fr-FR"/>
        </w:rPr>
        <w:t xml:space="preserve">              Fig.3.</w:t>
      </w:r>
      <w:r>
        <w:rPr>
          <w:rFonts w:hint="default" w:ascii="Times New Roman" w:hAnsi="Times New Roman" w:eastAsia="SimSun" w:cs="Times New Roman"/>
          <w:sz w:val="24"/>
          <w:szCs w:val="24"/>
        </w:rPr>
        <w:t>Dashboard displaying price evolution and automated analysis for tomatoes.</w:t>
      </w:r>
    </w:p>
    <w:p w14:paraId="5EA1453C">
      <w:pPr>
        <w:spacing w:after="60"/>
        <w:rPr>
          <w:rFonts w:hint="default" w:eastAsia="SimSun" w:cs="Times New Roman"/>
          <w:sz w:val="24"/>
          <w:szCs w:val="24"/>
          <w:lang w:val="fr-FR"/>
        </w:rPr>
      </w:pPr>
    </w:p>
    <w:p w14:paraId="47214727">
      <w:pPr>
        <w:spacing w:after="60"/>
        <w:rPr>
          <w:rFonts w:hint="default" w:ascii="Times New Roman" w:hAnsi="Times New Roman" w:eastAsia="SimSun" w:cs="Times New Roman"/>
          <w:sz w:val="24"/>
          <w:szCs w:val="24"/>
          <w:lang w:val="fr-FR"/>
        </w:rPr>
      </w:pPr>
      <w:r>
        <w:rPr>
          <w:rFonts w:hint="default" w:ascii="Times New Roman" w:hAnsi="Times New Roman" w:eastAsia="SimSun" w:cs="Times New Roman"/>
          <w:sz w:val="24"/>
          <w:szCs w:val="24"/>
          <w:lang w:val="fr-FR"/>
        </w:rPr>
        <w:drawing>
          <wp:inline distT="0" distB="0" distL="114300" distR="114300">
            <wp:extent cx="6040120" cy="2585720"/>
            <wp:effectExtent l="0" t="0" r="5080" b="5080"/>
            <wp:docPr id="4" name="Image 4" descr="WhatsApp Image 2026-06-21 at 22.0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4" descr="WhatsApp Image 2026-06-21 at 22.01.48"/>
                    <pic:cNvPicPr>
                      <a:picLocks noChangeAspect="1"/>
                    </pic:cNvPicPr>
                  </pic:nvPicPr>
                  <pic:blipFill>
                    <a:blip r:embed="rId9"/>
                    <a:stretch>
                      <a:fillRect/>
                    </a:stretch>
                  </pic:blipFill>
                  <pic:spPr>
                    <a:xfrm>
                      <a:off x="0" y="0"/>
                      <a:ext cx="6040120" cy="2585720"/>
                    </a:xfrm>
                    <a:prstGeom prst="rect">
                      <a:avLst/>
                    </a:prstGeom>
                  </pic:spPr>
                </pic:pic>
              </a:graphicData>
            </a:graphic>
          </wp:inline>
        </w:drawing>
      </w:r>
    </w:p>
    <w:p w14:paraId="66CF6126">
      <w:pPr>
        <w:spacing w:after="60"/>
        <w:rPr>
          <w:rFonts w:hint="default" w:ascii="Times New Roman" w:hAnsi="Times New Roman" w:eastAsia="SimSun" w:cs="Times New Roman"/>
          <w:sz w:val="24"/>
          <w:szCs w:val="24"/>
        </w:rPr>
      </w:pPr>
      <w:r>
        <w:rPr>
          <w:rFonts w:hint="default" w:ascii="Times New Roman" w:hAnsi="Times New Roman" w:eastAsia="SimSun" w:cs="Times New Roman"/>
          <w:sz w:val="24"/>
          <w:szCs w:val="24"/>
          <w:lang w:val="fr-FR"/>
        </w:rPr>
        <w:t xml:space="preserve">                                Fig.4.</w:t>
      </w:r>
      <w:r>
        <w:rPr>
          <w:rFonts w:hint="default" w:ascii="Times New Roman" w:hAnsi="Times New Roman" w:eastAsia="SimSun" w:cs="Times New Roman"/>
          <w:sz w:val="24"/>
          <w:szCs w:val="24"/>
          <w:lang w:val="fr-FR"/>
        </w:rPr>
        <w:t xml:space="preserve"> </w:t>
      </w:r>
      <w:r>
        <w:rPr>
          <w:rFonts w:hint="default" w:ascii="Times New Roman" w:hAnsi="Times New Roman" w:eastAsia="SimSun" w:cs="Times New Roman"/>
          <w:sz w:val="24"/>
          <w:szCs w:val="24"/>
        </w:rPr>
        <w:t>City price comparator for cross-regional price analysis.</w:t>
      </w:r>
    </w:p>
    <w:p w14:paraId="256E02DC">
      <w:pPr>
        <w:spacing w:after="60"/>
        <w:rPr>
          <w:rFonts w:hint="default" w:ascii="Times New Roman" w:hAnsi="Times New Roman" w:eastAsia="SimSun" w:cs="Times New Roman"/>
          <w:sz w:val="24"/>
          <w:szCs w:val="24"/>
          <w:lang w:val="fr-FR"/>
        </w:rPr>
      </w:pPr>
    </w:p>
    <w:p w14:paraId="24D84185">
      <w:pPr>
        <w:spacing w:after="60"/>
        <w:rPr>
          <w:rFonts w:hint="default" w:ascii="Times New Roman" w:hAnsi="Times New Roman" w:eastAsia="SimSun" w:cs="Times New Roman"/>
          <w:sz w:val="24"/>
          <w:szCs w:val="24"/>
          <w:lang w:val="fr-FR"/>
        </w:rPr>
      </w:pPr>
      <w:r>
        <w:rPr>
          <w:rFonts w:hint="default" w:ascii="Times New Roman" w:hAnsi="Times New Roman" w:eastAsia="SimSun" w:cs="Times New Roman"/>
          <w:sz w:val="24"/>
          <w:szCs w:val="24"/>
          <w:lang w:val="fr-FR"/>
        </w:rPr>
        <w:drawing>
          <wp:inline distT="0" distB="0" distL="114300" distR="114300">
            <wp:extent cx="6005195" cy="2653030"/>
            <wp:effectExtent l="0" t="0" r="1905" b="1270"/>
            <wp:docPr id="5" name="Image 5" descr="WhatsApp Image 2026-06-21 at 22.0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5" descr="WhatsApp Image 2026-06-21 at 22.01.24"/>
                    <pic:cNvPicPr>
                      <a:picLocks noChangeAspect="1"/>
                    </pic:cNvPicPr>
                  </pic:nvPicPr>
                  <pic:blipFill>
                    <a:blip r:embed="rId10"/>
                    <a:stretch>
                      <a:fillRect/>
                    </a:stretch>
                  </pic:blipFill>
                  <pic:spPr>
                    <a:xfrm>
                      <a:off x="0" y="0"/>
                      <a:ext cx="6005195" cy="2653030"/>
                    </a:xfrm>
                    <a:prstGeom prst="rect">
                      <a:avLst/>
                    </a:prstGeom>
                  </pic:spPr>
                </pic:pic>
              </a:graphicData>
            </a:graphic>
          </wp:inline>
        </w:drawing>
      </w:r>
    </w:p>
    <w:p w14:paraId="390119A5">
      <w:pPr>
        <w:spacing w:after="60"/>
        <w:rPr>
          <w:rFonts w:hint="default" w:ascii="Times New Roman" w:hAnsi="Times New Roman" w:eastAsia="SimSun" w:cs="Times New Roman"/>
          <w:sz w:val="24"/>
          <w:szCs w:val="24"/>
        </w:rPr>
      </w:pPr>
      <w:r>
        <w:rPr>
          <w:rFonts w:hint="default" w:ascii="Times New Roman" w:hAnsi="Times New Roman" w:eastAsia="SimSun" w:cs="Times New Roman"/>
          <w:sz w:val="24"/>
          <w:szCs w:val="24"/>
          <w:lang w:val="fr-FR"/>
        </w:rPr>
        <w:t xml:space="preserve">       Fig.5 </w:t>
      </w:r>
      <w:r>
        <w:rPr>
          <w:rFonts w:hint="default" w:ascii="Times New Roman" w:hAnsi="Times New Roman" w:eastAsia="SimSun" w:cs="Times New Roman"/>
          <w:sz w:val="24"/>
          <w:szCs w:val="24"/>
        </w:rPr>
        <w:t>Interactive map showing geolocated price observations with color-coded price levels.</w:t>
      </w:r>
    </w:p>
    <w:p w14:paraId="5521D24E">
      <w:pPr>
        <w:spacing w:after="60"/>
        <w:rPr>
          <w:rFonts w:hint="default" w:ascii="Times New Roman" w:hAnsi="Times New Roman" w:eastAsia="SimSun" w:cs="Times New Roman"/>
          <w:sz w:val="24"/>
          <w:szCs w:val="24"/>
          <w:lang w:val="fr-FR"/>
        </w:rPr>
      </w:pPr>
      <w:r>
        <w:rPr>
          <w:rFonts w:hint="default" w:ascii="Times New Roman" w:hAnsi="Times New Roman" w:eastAsia="SimSun" w:cs="Times New Roman"/>
          <w:sz w:val="24"/>
          <w:szCs w:val="24"/>
          <w:lang w:val="fr-FR"/>
        </w:rPr>
        <w:t xml:space="preserve"> </w:t>
      </w:r>
    </w:p>
    <w:p w14:paraId="68D700E6">
      <w:pPr>
        <w:spacing w:after="60"/>
        <w:rPr>
          <w:rFonts w:hint="default" w:ascii="Times New Roman" w:hAnsi="Times New Roman" w:eastAsia="SimSun" w:cs="Times New Roman"/>
          <w:sz w:val="24"/>
          <w:szCs w:val="24"/>
          <w:lang w:val="fr-FR"/>
        </w:rPr>
      </w:pPr>
      <w:r>
        <w:rPr>
          <w:rFonts w:hint="default" w:ascii="Times New Roman" w:hAnsi="Times New Roman" w:eastAsia="SimSun" w:cs="Times New Roman"/>
          <w:sz w:val="24"/>
          <w:szCs w:val="24"/>
          <w:lang w:val="fr-FR"/>
        </w:rPr>
        <w:drawing>
          <wp:inline distT="0" distB="0" distL="114300" distR="114300">
            <wp:extent cx="6047740" cy="2608580"/>
            <wp:effectExtent l="0" t="0" r="10160" b="7620"/>
            <wp:docPr id="2" name="Image 2" descr="WhatsApp Image 2026-06-22 at 01.27.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2" descr="WhatsApp Image 2026-06-22 at 01.27.51"/>
                    <pic:cNvPicPr>
                      <a:picLocks noChangeAspect="1"/>
                    </pic:cNvPicPr>
                  </pic:nvPicPr>
                  <pic:blipFill>
                    <a:blip r:embed="rId11"/>
                    <a:stretch>
                      <a:fillRect/>
                    </a:stretch>
                  </pic:blipFill>
                  <pic:spPr>
                    <a:xfrm>
                      <a:off x="0" y="0"/>
                      <a:ext cx="6047740" cy="2608580"/>
                    </a:xfrm>
                    <a:prstGeom prst="rect">
                      <a:avLst/>
                    </a:prstGeom>
                  </pic:spPr>
                </pic:pic>
              </a:graphicData>
            </a:graphic>
          </wp:inline>
        </w:drawing>
      </w:r>
    </w:p>
    <w:p w14:paraId="709BF4F2">
      <w:pPr>
        <w:spacing w:after="60"/>
        <w:rPr>
          <w:rFonts w:hint="default" w:ascii="Times New Roman" w:hAnsi="Times New Roman" w:eastAsia="SimSun" w:cs="Times New Roman"/>
          <w:sz w:val="24"/>
          <w:szCs w:val="24"/>
          <w:lang w:val="fr-FR"/>
        </w:rPr>
      </w:pPr>
      <w:r>
        <w:rPr>
          <w:rFonts w:hint="default" w:ascii="Times New Roman" w:hAnsi="Times New Roman" w:eastAsia="SimSun" w:cs="Times New Roman"/>
          <w:sz w:val="24"/>
          <w:szCs w:val="24"/>
          <w:lang w:val="fr-FR"/>
        </w:rPr>
        <w:t xml:space="preserve">                                                Fig.6. Aministration Dashboard</w:t>
      </w:r>
    </w:p>
    <w:p w14:paraId="54D047A1">
      <w:pPr>
        <w:spacing w:after="60"/>
        <w:rPr>
          <w:rFonts w:hint="default" w:ascii="Times New Roman" w:hAnsi="Times New Roman" w:eastAsia="SimSun" w:cs="Times New Roman"/>
          <w:sz w:val="24"/>
          <w:szCs w:val="24"/>
          <w:lang w:val="fr-FR"/>
        </w:rPr>
      </w:pPr>
    </w:p>
    <w:p w14:paraId="707A2456">
      <w:pPr>
        <w:pBdr>
          <w:bottom w:val="single" w:color="003366" w:sz="6" w:space="1"/>
        </w:pBdr>
        <w:spacing w:before="240" w:after="120"/>
        <w:rPr>
          <w:rFonts w:hint="default"/>
          <w:lang w:val="fr-FR"/>
        </w:rPr>
      </w:pPr>
      <w:r>
        <w:rPr>
          <w:rFonts w:ascii="Times New Roman" w:hAnsi="Times New Roman" w:eastAsia="Times New Roman" w:cs="Times New Roman"/>
          <w:b/>
          <w:bCs/>
          <w:sz w:val="26"/>
          <w:szCs w:val="26"/>
        </w:rPr>
        <w:t>4. Impact</w:t>
      </w:r>
      <w:r>
        <w:rPr>
          <w:rFonts w:hint="default" w:cs="Times New Roman"/>
          <w:b/>
          <w:bCs/>
          <w:sz w:val="26"/>
          <w:szCs w:val="26"/>
          <w:lang w:val="fr-FR"/>
        </w:rPr>
        <w:t xml:space="preserve"> </w:t>
      </w:r>
    </w:p>
    <w:p w14:paraId="777430C2">
      <w:pPr>
        <w:spacing w:after="120"/>
        <w:jc w:val="both"/>
      </w:pPr>
      <w:r>
        <w:rPr>
          <w:rFonts w:ascii="Times New Roman" w:hAnsi="Times New Roman" w:eastAsia="Times New Roman" w:cs="Times New Roman"/>
          <w:sz w:val="24"/>
          <w:szCs w:val="24"/>
        </w:rPr>
        <w:t>Souk-Data-Mining contributes to three distinct impact dimensions: civic empowerment, scientific research infrastructure, and public policy support.</w:t>
      </w:r>
    </w:p>
    <w:p w14:paraId="781137DE">
      <w:pPr>
        <w:spacing w:after="60"/>
      </w:pPr>
    </w:p>
    <w:p w14:paraId="5A482FFA">
      <w:pPr>
        <w:spacing w:after="120"/>
        <w:jc w:val="both"/>
      </w:pPr>
      <w:r>
        <w:rPr>
          <w:rFonts w:ascii="Times New Roman" w:hAnsi="Times New Roman" w:eastAsia="Times New Roman" w:cs="Times New Roman"/>
          <w:sz w:val="24"/>
          <w:szCs w:val="24"/>
        </w:rPr>
        <w:t>From a civic perspective, the platform addresses a documented information asymmetry between vendors and consumers in informal markets. By making price data publicly accessible and continuously updated, it provides households and consumer associations with an evidence base for identifying exploitative pricing practices and informing purchasing decisions. The zero-installation, browser-based design ensures accessibility for users with low-end Android devices and limited data plans, the demographic most reliant on souk markets for food procurement.</w:t>
      </w:r>
    </w:p>
    <w:p w14:paraId="6F148CBC">
      <w:pPr>
        <w:spacing w:after="60"/>
      </w:pPr>
    </w:p>
    <w:p w14:paraId="1EFB3887">
      <w:pPr>
        <w:spacing w:after="120"/>
        <w:jc w:val="both"/>
      </w:pPr>
      <w:r>
        <w:rPr>
          <w:rFonts w:ascii="Times New Roman" w:hAnsi="Times New Roman" w:eastAsia="Times New Roman" w:cs="Times New Roman"/>
          <w:sz w:val="24"/>
          <w:szCs w:val="24"/>
        </w:rPr>
        <w:t>For the scientific community, Souk-Data-Mining provides a novel dataset type that has been largely absent from the literature on Moroccan and North African informal economies: high-frequency, geolocated, citizen-collected food price microdata. This data stream enables research questions that are currently intractable with official statistics, including the spatial transmission dynamics of food price shocks within informal distribution networks, the price differential between tourist-facing and local-facing vendors, and the relationship between road accessibility and regional price convergence [5].</w:t>
      </w:r>
    </w:p>
    <w:p w14:paraId="2A598E94">
      <w:pPr>
        <w:spacing w:after="60"/>
      </w:pPr>
    </w:p>
    <w:p w14:paraId="133C839E">
      <w:pPr>
        <w:spacing w:after="120"/>
        <w:jc w:val="both"/>
      </w:pPr>
      <w:r>
        <w:rPr>
          <w:rFonts w:ascii="Times New Roman" w:hAnsi="Times New Roman" w:eastAsia="Times New Roman" w:cs="Times New Roman"/>
          <w:sz w:val="24"/>
          <w:szCs w:val="24"/>
        </w:rPr>
        <w:t>For public institutions, the platform offers a low-cost complement to the Haut-Commissariat au Plan's existing CPI measurement infrastructure. By providing near-real-time price signals at the commune level</w:t>
      </w:r>
      <w:r>
        <w:rPr>
          <w:rFonts w:hint="default" w:cs="Times New Roman"/>
          <w:sz w:val="24"/>
          <w:szCs w:val="24"/>
          <w:lang w:val="fr-FR"/>
        </w:rPr>
        <w:t xml:space="preserve">, </w:t>
      </w:r>
      <w:r>
        <w:rPr>
          <w:rFonts w:ascii="Times New Roman" w:hAnsi="Times New Roman" w:eastAsia="Times New Roman" w:cs="Times New Roman"/>
          <w:sz w:val="24"/>
          <w:szCs w:val="24"/>
        </w:rPr>
        <w:t>a geographic granularity unreachable by current official surveys</w:t>
      </w:r>
      <w:r>
        <w:rPr>
          <w:rFonts w:hint="default" w:cs="Times New Roman"/>
          <w:sz w:val="24"/>
          <w:szCs w:val="24"/>
          <w:lang w:val="fr-FR"/>
        </w:rPr>
        <w:t xml:space="preserve">, </w:t>
      </w:r>
      <w:r>
        <w:rPr>
          <w:rFonts w:ascii="Times New Roman" w:hAnsi="Times New Roman" w:eastAsia="Times New Roman" w:cs="Times New Roman"/>
          <w:sz w:val="24"/>
          <w:szCs w:val="24"/>
        </w:rPr>
        <w:t>Souk-Data-Mining can serve as an early warning system for food inflation events affecting vulnerable rural populations, supporting faster and more targeted policy responses.</w:t>
      </w:r>
    </w:p>
    <w:p w14:paraId="0630BCE8">
      <w:pPr>
        <w:spacing w:after="60"/>
      </w:pPr>
    </w:p>
    <w:p w14:paraId="7401B521">
      <w:pPr>
        <w:spacing w:after="120"/>
        <w:jc w:val="both"/>
      </w:pPr>
      <w:r>
        <w:rPr>
          <w:rFonts w:ascii="Times New Roman" w:hAnsi="Times New Roman" w:eastAsia="Times New Roman" w:cs="Times New Roman"/>
          <w:sz w:val="24"/>
          <w:szCs w:val="24"/>
        </w:rPr>
        <w:t>The open-source release of the platform under the MIT license enables adaptation for other informal market contexts across Sub-Saharan Africa, the Middle East, and South Asia, where analogous data gaps exist. Future development directions include the integration of machine learning models for price forecasting, API endpoints for institutional data consumers, and a data export module for academic use under appropriate anonymization guarantees.</w:t>
      </w:r>
    </w:p>
    <w:p w14:paraId="38B1109B">
      <w:pPr>
        <w:spacing w:after="60"/>
      </w:pPr>
    </w:p>
    <w:p w14:paraId="1914C6FC">
      <w:pPr>
        <w:pBdr>
          <w:bottom w:val="single" w:color="003366" w:sz="6" w:space="1"/>
        </w:pBdr>
        <w:spacing w:before="240" w:after="120"/>
      </w:pPr>
      <w:r>
        <w:rPr>
          <w:rFonts w:ascii="Times New Roman" w:hAnsi="Times New Roman" w:eastAsia="Times New Roman" w:cs="Times New Roman"/>
          <w:b/>
          <w:bCs/>
          <w:sz w:val="26"/>
          <w:szCs w:val="26"/>
        </w:rPr>
        <w:t>5. Conclusions</w:t>
      </w:r>
    </w:p>
    <w:p w14:paraId="550B0335">
      <w:pPr>
        <w:spacing w:after="120"/>
        <w:jc w:val="both"/>
      </w:pPr>
      <w:r>
        <w:rPr>
          <w:rFonts w:ascii="Times New Roman" w:hAnsi="Times New Roman" w:eastAsia="Times New Roman" w:cs="Times New Roman"/>
          <w:sz w:val="24"/>
          <w:szCs w:val="24"/>
        </w:rPr>
        <w:t>This paper presents Souk-Data-Mining, an open-source, participatory web platform designed to address the critical absence of systematic food price data from informal rural markets in Morocco. By combining a citizen crowdsourcing model for data collection, a statistical analytical engine for anomaly detection and trend analysis, and an interactive D3.js visualization dashboard, the platform transforms dispersed individual price observations into actionable economic intelligence accessible to consumers, researchers, and public institutions alike.</w:t>
      </w:r>
    </w:p>
    <w:p w14:paraId="1A9C1AA4">
      <w:pPr>
        <w:spacing w:after="60"/>
      </w:pPr>
    </w:p>
    <w:p w14:paraId="6E63DCA1">
      <w:pPr>
        <w:spacing w:after="120"/>
        <w:jc w:val="both"/>
      </w:pPr>
      <w:r>
        <w:rPr>
          <w:rFonts w:ascii="Times New Roman" w:hAnsi="Times New Roman" w:eastAsia="Times New Roman" w:cs="Times New Roman"/>
          <w:sz w:val="24"/>
          <w:szCs w:val="24"/>
        </w:rPr>
        <w:t>The system's lightweight Next.js architecture, reliance on browser-native Geolocation API capabilities, and zero-installation deployment model ensure that participation barriers remain minimal for the target user population. The platform demonstrates that modern web technologies can be combined to create impactful civic data infrastructure with limited development resources, providing a replicable model for informal market monitoring in other geographic contexts.</w:t>
      </w:r>
    </w:p>
    <w:p w14:paraId="55AAA99A">
      <w:pPr>
        <w:spacing w:after="60"/>
      </w:pPr>
    </w:p>
    <w:p w14:paraId="1AFD0474">
      <w:pPr>
        <w:pBdr>
          <w:bottom w:val="single" w:color="003366" w:sz="6" w:space="1"/>
        </w:pBdr>
        <w:spacing w:before="240" w:after="116" w:afterLines="32" w:afterAutospacing="0"/>
      </w:pPr>
      <w:r>
        <w:rPr>
          <w:rFonts w:ascii="Times New Roman" w:hAnsi="Times New Roman" w:eastAsia="Times New Roman" w:cs="Times New Roman"/>
          <w:b/>
          <w:bCs/>
          <w:sz w:val="26"/>
          <w:szCs w:val="26"/>
        </w:rPr>
        <w:t>Declaration of Competing Interest</w:t>
      </w:r>
    </w:p>
    <w:p w14:paraId="314DF07A">
      <w:pPr>
        <w:spacing w:beforeAutospacing="0" w:after="120"/>
        <w:jc w:val="both"/>
      </w:pPr>
      <w:r>
        <w:rPr>
          <w:rFonts w:ascii="Times New Roman" w:hAnsi="Times New Roman" w:eastAsia="Times New Roman" w:cs="Times New Roman"/>
          <w:sz w:val="24"/>
          <w:szCs w:val="24"/>
        </w:rPr>
        <w:t>The authors declare that they have no known competing financial interests or personal relationships that could have appeared to influence the work reported in this paper.</w:t>
      </w:r>
    </w:p>
    <w:p w14:paraId="1D49B8F8">
      <w:pPr>
        <w:spacing w:after="60"/>
      </w:pPr>
    </w:p>
    <w:p w14:paraId="27DD7FAC">
      <w:pPr>
        <w:pBdr>
          <w:bottom w:val="single" w:color="003366" w:sz="6" w:space="1"/>
        </w:pBdr>
        <w:spacing w:before="240" w:after="120"/>
      </w:pPr>
      <w:r>
        <w:rPr>
          <w:rFonts w:ascii="Times New Roman" w:hAnsi="Times New Roman" w:eastAsia="Times New Roman" w:cs="Times New Roman"/>
          <w:b/>
          <w:bCs/>
          <w:sz w:val="26"/>
          <w:szCs w:val="26"/>
        </w:rPr>
        <w:t>Acknowledgements</w:t>
      </w:r>
    </w:p>
    <w:p w14:paraId="5ADAA702">
      <w:pPr>
        <w:spacing w:after="60"/>
        <w:rPr>
          <w:rFonts w:hint="default" w:ascii="Times New Roman" w:hAnsi="Times New Roman" w:cs="Times New Roman"/>
        </w:rPr>
      </w:pPr>
      <w:r>
        <w:rPr>
          <w:rFonts w:hint="default" w:ascii="Times New Roman" w:hAnsi="Times New Roman" w:eastAsia="SimSun" w:cs="Times New Roman"/>
          <w:sz w:val="24"/>
          <w:szCs w:val="24"/>
        </w:rPr>
        <w:t>The authors wish to thank Professor Omar Boutkhoum, from the Faculty of Sciences, Chouaib Doukkali University, El Jadida, for proposing this research project and for his guidance and supervision throughout its realization.</w:t>
      </w:r>
    </w:p>
    <w:p w14:paraId="52838BD6">
      <w:pPr>
        <w:pBdr>
          <w:bottom w:val="single" w:color="003366" w:sz="6" w:space="1"/>
        </w:pBdr>
        <w:spacing w:before="240" w:after="120"/>
      </w:pPr>
      <w:r>
        <w:rPr>
          <w:rFonts w:ascii="Times New Roman" w:hAnsi="Times New Roman" w:eastAsia="Times New Roman" w:cs="Times New Roman"/>
          <w:b/>
          <w:bCs/>
          <w:sz w:val="26"/>
          <w:szCs w:val="26"/>
        </w:rPr>
        <w:t>References</w:t>
      </w:r>
    </w:p>
    <w:p w14:paraId="35E19991">
      <w:pPr>
        <w:spacing w:after="60"/>
      </w:pPr>
      <w:r>
        <w:rPr>
          <w:rFonts w:ascii="Times New Roman" w:hAnsi="Times New Roman" w:eastAsia="Times New Roman" w:cs="Times New Roman"/>
          <w:sz w:val="22"/>
          <w:szCs w:val="22"/>
        </w:rPr>
        <w:t>[1] Haut-Commissariat au Plan. Indices des prix à la consommation: méthodologie et résultats. Rabat: HCP; 2022.</w:t>
      </w:r>
    </w:p>
    <w:p w14:paraId="01675AFD">
      <w:pPr>
        <w:spacing w:after="60"/>
        <w:rPr>
          <w:rFonts w:hint="default" w:ascii="Times New Roman" w:hAnsi="Times New Roman" w:cs="Times New Roman"/>
        </w:rPr>
      </w:pPr>
      <w:r>
        <w:rPr>
          <w:rFonts w:ascii="Times New Roman" w:hAnsi="Times New Roman" w:eastAsia="Times New Roman" w:cs="Times New Roman"/>
          <w:sz w:val="22"/>
          <w:szCs w:val="22"/>
        </w:rPr>
        <w:t>[2] Galtier F, Egg J. How to fight against the dysfunction of food markets in developing countries. AFD Wor</w:t>
      </w:r>
      <w:r>
        <w:rPr>
          <w:rFonts w:hint="default" w:ascii="Times New Roman" w:hAnsi="Times New Roman" w:eastAsia="Times New Roman" w:cs="Times New Roman"/>
          <w:sz w:val="22"/>
          <w:szCs w:val="22"/>
        </w:rPr>
        <w:t>king Paper No. 135; 2013.</w:t>
      </w:r>
    </w:p>
    <w:p w14:paraId="701E06C4">
      <w:pPr>
        <w:spacing w:after="60"/>
        <w:rPr>
          <w:rFonts w:ascii="SimSun" w:hAnsi="SimSun" w:eastAsia="SimSun" w:cs="SimSun"/>
          <w:sz w:val="24"/>
          <w:szCs w:val="24"/>
        </w:rPr>
      </w:pPr>
      <w:r>
        <w:rPr>
          <w:rFonts w:hint="default" w:ascii="Times New Roman" w:hAnsi="Times New Roman" w:eastAsia="Times New Roman" w:cs="Times New Roman"/>
          <w:sz w:val="22"/>
          <w:szCs w:val="22"/>
        </w:rPr>
        <w:t xml:space="preserve">[3] </w:t>
      </w:r>
      <w:r>
        <w:rPr>
          <w:rFonts w:hint="default" w:ascii="Times New Roman" w:hAnsi="Times New Roman" w:eastAsia="SimSun" w:cs="Times New Roman"/>
          <w:sz w:val="24"/>
          <w:szCs w:val="24"/>
        </w:rPr>
        <w:t>Brabham DC. Crowdsourcing as a model for problem solving. Convergence 2008;14(1):75–90</w:t>
      </w:r>
      <w:r>
        <w:rPr>
          <w:rFonts w:ascii="SimSun" w:hAnsi="SimSun" w:eastAsia="SimSun" w:cs="SimSun"/>
          <w:sz w:val="24"/>
          <w:szCs w:val="24"/>
        </w:rPr>
        <w:t>.</w:t>
      </w:r>
    </w:p>
    <w:p w14:paraId="5641008B">
      <w:pPr>
        <w:spacing w:after="60"/>
      </w:pPr>
      <w:r>
        <w:rPr>
          <w:rFonts w:ascii="Times New Roman" w:hAnsi="Times New Roman" w:eastAsia="Times New Roman" w:cs="Times New Roman"/>
          <w:sz w:val="22"/>
          <w:szCs w:val="22"/>
        </w:rPr>
        <w:t>[4] Cavallo A. Scraped data and sticky prices. Rev Econ Stat 2018;100(1):105</w:t>
      </w:r>
      <w:r>
        <w:rPr>
          <w:rFonts w:hint="default" w:cs="Times New Roman"/>
          <w:sz w:val="22"/>
          <w:szCs w:val="22"/>
          <w:lang w:val="fr-FR"/>
        </w:rPr>
        <w:t xml:space="preserve"> - </w:t>
      </w:r>
      <w:r>
        <w:rPr>
          <w:rFonts w:ascii="Times New Roman" w:hAnsi="Times New Roman" w:eastAsia="Times New Roman" w:cs="Times New Roman"/>
          <w:sz w:val="22"/>
          <w:szCs w:val="22"/>
        </w:rPr>
        <w:t>19.</w:t>
      </w:r>
    </w:p>
    <w:p w14:paraId="51D39F5C">
      <w:pPr>
        <w:spacing w:after="60"/>
      </w:pPr>
      <w:r>
        <w:rPr>
          <w:rFonts w:ascii="Times New Roman" w:hAnsi="Times New Roman" w:eastAsia="Times New Roman" w:cs="Times New Roman"/>
          <w:sz w:val="22"/>
          <w:szCs w:val="22"/>
        </w:rPr>
        <w:t>[5] Aker JC. Dial 'A' for agriculture: A review of information and communication technologies for agricultural extension in developing countries. Agric Econ 2011;42(6):631</w:t>
      </w:r>
      <w:r>
        <w:rPr>
          <w:rFonts w:hint="default" w:cs="Times New Roman"/>
          <w:sz w:val="22"/>
          <w:szCs w:val="22"/>
          <w:lang w:val="fr-FR"/>
        </w:rPr>
        <w:t xml:space="preserve"> - </w:t>
      </w:r>
      <w:r>
        <w:rPr>
          <w:rFonts w:ascii="Times New Roman" w:hAnsi="Times New Roman" w:eastAsia="Times New Roman" w:cs="Times New Roman"/>
          <w:sz w:val="22"/>
          <w:szCs w:val="22"/>
        </w:rPr>
        <w:t>47.</w:t>
      </w:r>
    </w:p>
    <w:p w14:paraId="6AB881A6">
      <w:pPr>
        <w:spacing w:after="60"/>
      </w:pPr>
    </w:p>
    <w:sectPr>
      <w:pgSz w:w="11906" w:h="16838"/>
      <w:pgMar w:top="1440" w:right="1260" w:bottom="1440" w:left="126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4"/>
  <w:doNotDisplayPageBoundaries w:val="1"/>
  <w:displayBackgroundShape w:val="1"/>
  <w:bordersDoNotSurroundHeader w:val="0"/>
  <w:bordersDoNotSurroundFooter w:val="0"/>
  <w:documentProtection w:enforcement="0"/>
  <w:defaultTabStop w:val="708"/>
  <w:hyphenationZone w:val="425"/>
  <w:displayHorizontalDrawingGridEvery w:val="1"/>
  <w:displayVerticalDrawingGridEvery w:val="1"/>
  <w:noPunctuationKerning w:val="1"/>
  <w:characterSpacingControl w:val="doNotCompress"/>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53C64"/>
    <w:rsid w:val="00052571"/>
    <w:rsid w:val="00121038"/>
    <w:rsid w:val="002A5BB1"/>
    <w:rsid w:val="00462F2D"/>
    <w:rsid w:val="00753C64"/>
    <w:rsid w:val="00EB6CAE"/>
    <w:rsid w:val="050874E4"/>
    <w:rsid w:val="0A204CCE"/>
    <w:rsid w:val="0AEA5012"/>
    <w:rsid w:val="1A8973A7"/>
    <w:rsid w:val="295E6B72"/>
    <w:rsid w:val="315A2790"/>
    <w:rsid w:val="31E651EC"/>
    <w:rsid w:val="3204479C"/>
    <w:rsid w:val="3AD924FC"/>
    <w:rsid w:val="403C0565"/>
    <w:rsid w:val="4A192915"/>
    <w:rsid w:val="50CE7AA9"/>
    <w:rsid w:val="5D4C3025"/>
    <w:rsid w:val="614C6AAF"/>
    <w:rsid w:val="64012DC0"/>
    <w:rsid w:val="68795A32"/>
    <w:rsid w:val="6C6F02CC"/>
    <w:rsid w:val="6F7B101E"/>
    <w:rsid w:val="758965CF"/>
    <w:rsid w:val="7B7E44DA"/>
    <w:rsid w:val="7B8E76C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Balloon Text"/>
    <w:lsdException w:qFormat="1" w:unhideWhenUsed="0" w:uiPriority="0" w:semiHidden="0" w:name="List Paragraph"/>
  </w:latentStyles>
  <w:style w:type="paragraph" w:default="1" w:styleId="1">
    <w:name w:val="Normal"/>
    <w:qFormat/>
    <w:uiPriority w:val="0"/>
    <w:pPr>
      <w:widowControl w:val="0"/>
      <w:jc w:val="both"/>
    </w:pPr>
    <w:rPr>
      <w:rFonts w:ascii="Times New Roman" w:hAnsi="Times New Roman" w:eastAsia="Times New Roman" w:cs="Times New Roman"/>
      <w:sz w:val="24"/>
      <w:szCs w:val="24"/>
      <w:lang w:val="fr-FR" w:eastAsia="fr-FR" w:bidi="ar-SA"/>
    </w:rPr>
  </w:style>
  <w:style w:type="paragraph" w:styleId="2">
    <w:name w:val="heading 1"/>
    <w:next w:val="1"/>
    <w:qFormat/>
    <w:uiPriority w:val="0"/>
    <w:pPr>
      <w:outlineLvl w:val="0"/>
    </w:pPr>
    <w:rPr>
      <w:rFonts w:ascii="Times New Roman" w:hAnsi="Times New Roman" w:eastAsia="Times New Roman" w:cs="Times New Roman"/>
      <w:color w:val="2E74B5"/>
      <w:sz w:val="32"/>
      <w:szCs w:val="32"/>
      <w:lang w:val="fr-FR" w:eastAsia="fr-FR" w:bidi="ar-SA"/>
    </w:rPr>
  </w:style>
  <w:style w:type="paragraph" w:styleId="3">
    <w:name w:val="heading 2"/>
    <w:next w:val="1"/>
    <w:qFormat/>
    <w:uiPriority w:val="0"/>
    <w:pPr>
      <w:outlineLvl w:val="1"/>
    </w:pPr>
    <w:rPr>
      <w:rFonts w:ascii="Times New Roman" w:hAnsi="Times New Roman" w:eastAsia="Times New Roman" w:cs="Times New Roman"/>
      <w:color w:val="2E74B5"/>
      <w:sz w:val="26"/>
      <w:szCs w:val="26"/>
      <w:lang w:val="fr-FR" w:eastAsia="fr-FR" w:bidi="ar-SA"/>
    </w:rPr>
  </w:style>
  <w:style w:type="paragraph" w:styleId="4">
    <w:name w:val="heading 3"/>
    <w:next w:val="1"/>
    <w:qFormat/>
    <w:uiPriority w:val="0"/>
    <w:pPr>
      <w:outlineLvl w:val="2"/>
    </w:pPr>
    <w:rPr>
      <w:rFonts w:ascii="Times New Roman" w:hAnsi="Times New Roman" w:eastAsia="Times New Roman" w:cs="Times New Roman"/>
      <w:color w:val="1F4D78"/>
      <w:sz w:val="24"/>
      <w:szCs w:val="24"/>
      <w:lang w:val="fr-FR" w:eastAsia="fr-FR" w:bidi="ar-SA"/>
    </w:rPr>
  </w:style>
  <w:style w:type="paragraph" w:styleId="5">
    <w:name w:val="heading 4"/>
    <w:next w:val="1"/>
    <w:qFormat/>
    <w:uiPriority w:val="0"/>
    <w:pPr>
      <w:outlineLvl w:val="3"/>
    </w:pPr>
    <w:rPr>
      <w:rFonts w:ascii="Times New Roman" w:hAnsi="Times New Roman" w:eastAsia="Times New Roman" w:cs="Times New Roman"/>
      <w:i/>
      <w:iCs/>
      <w:color w:val="2E74B5"/>
      <w:sz w:val="24"/>
      <w:szCs w:val="24"/>
      <w:lang w:val="fr-FR" w:eastAsia="fr-FR" w:bidi="ar-SA"/>
    </w:rPr>
  </w:style>
  <w:style w:type="paragraph" w:styleId="6">
    <w:name w:val="heading 5"/>
    <w:next w:val="1"/>
    <w:qFormat/>
    <w:uiPriority w:val="0"/>
    <w:pPr>
      <w:outlineLvl w:val="4"/>
    </w:pPr>
    <w:rPr>
      <w:rFonts w:ascii="Times New Roman" w:hAnsi="Times New Roman" w:eastAsia="Times New Roman" w:cs="Times New Roman"/>
      <w:color w:val="2E74B5"/>
      <w:sz w:val="24"/>
      <w:szCs w:val="24"/>
      <w:lang w:val="fr-FR" w:eastAsia="fr-FR" w:bidi="ar-SA"/>
    </w:rPr>
  </w:style>
  <w:style w:type="paragraph" w:styleId="7">
    <w:name w:val="heading 6"/>
    <w:next w:val="1"/>
    <w:qFormat/>
    <w:uiPriority w:val="0"/>
    <w:pPr>
      <w:outlineLvl w:val="5"/>
    </w:pPr>
    <w:rPr>
      <w:rFonts w:ascii="Times New Roman" w:hAnsi="Times New Roman" w:eastAsia="Times New Roman" w:cs="Times New Roman"/>
      <w:color w:val="1F4D78"/>
      <w:sz w:val="24"/>
      <w:szCs w:val="24"/>
      <w:lang w:val="fr-FR" w:eastAsia="fr-FR" w:bidi="ar-SA"/>
    </w:rPr>
  </w:style>
  <w:style w:type="character" w:default="1" w:styleId="8">
    <w:name w:val="Default Paragraph Font"/>
    <w:semiHidden/>
    <w:unhideWhenUsed/>
    <w:qFormat/>
    <w:uiPriority w:val="1"/>
  </w:style>
  <w:style w:type="table" w:default="1" w:styleId="17">
    <w:name w:val="Normal Table"/>
    <w:semiHidden/>
    <w:unhideWhenUsed/>
    <w:qFormat/>
    <w:uiPriority w:val="99"/>
    <w:tblPr>
      <w:tblCellMar>
        <w:top w:w="0" w:type="dxa"/>
        <w:left w:w="108" w:type="dxa"/>
        <w:bottom w:w="0" w:type="dxa"/>
        <w:right w:w="108" w:type="dxa"/>
      </w:tblCellMar>
    </w:tblPr>
  </w:style>
  <w:style w:type="character" w:styleId="9">
    <w:name w:val="Hyperlink"/>
    <w:unhideWhenUsed/>
    <w:qFormat/>
    <w:uiPriority w:val="99"/>
    <w:rPr>
      <w:color w:val="0563C1"/>
      <w:u w:val="single"/>
    </w:rPr>
  </w:style>
  <w:style w:type="character" w:styleId="10">
    <w:name w:val="footnote reference"/>
    <w:semiHidden/>
    <w:unhideWhenUsed/>
    <w:qFormat/>
    <w:uiPriority w:val="99"/>
    <w:rPr>
      <w:vertAlign w:val="superscript"/>
    </w:rPr>
  </w:style>
  <w:style w:type="character" w:styleId="11">
    <w:name w:val="endnote reference"/>
    <w:semiHidden/>
    <w:unhideWhenUsed/>
    <w:qFormat/>
    <w:uiPriority w:val="99"/>
    <w:rPr>
      <w:vertAlign w:val="superscript"/>
    </w:rPr>
  </w:style>
  <w:style w:type="character" w:styleId="12">
    <w:name w:val="Emphasis"/>
    <w:qFormat/>
    <w:uiPriority w:val="0"/>
    <w:rPr>
      <w:i/>
      <w:iCs/>
    </w:rPr>
  </w:style>
  <w:style w:type="paragraph" w:styleId="13">
    <w:name w:val="endnote text"/>
    <w:link w:val="20"/>
    <w:semiHidden/>
    <w:unhideWhenUsed/>
    <w:qFormat/>
    <w:uiPriority w:val="99"/>
    <w:rPr>
      <w:rFonts w:ascii="Times New Roman" w:hAnsi="Times New Roman" w:eastAsia="Times New Roman" w:cs="Times New Roman"/>
      <w:lang w:val="fr-FR" w:eastAsia="fr-FR" w:bidi="ar-SA"/>
    </w:rPr>
  </w:style>
  <w:style w:type="paragraph" w:styleId="14">
    <w:name w:val="footnote text"/>
    <w:link w:val="19"/>
    <w:semiHidden/>
    <w:unhideWhenUsed/>
    <w:qFormat/>
    <w:uiPriority w:val="99"/>
    <w:rPr>
      <w:rFonts w:ascii="Times New Roman" w:hAnsi="Times New Roman" w:eastAsia="Times New Roman" w:cs="Times New Roman"/>
      <w:lang w:val="fr-FR" w:eastAsia="fr-FR" w:bidi="ar-SA"/>
    </w:rPr>
  </w:style>
  <w:style w:type="paragraph" w:styleId="15">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paragraph" w:styleId="16">
    <w:name w:val="Title"/>
    <w:qFormat/>
    <w:uiPriority w:val="0"/>
    <w:rPr>
      <w:rFonts w:ascii="Times New Roman" w:hAnsi="Times New Roman" w:eastAsia="Times New Roman" w:cs="Times New Roman"/>
      <w:sz w:val="56"/>
      <w:szCs w:val="56"/>
      <w:lang w:val="fr-FR" w:eastAsia="fr-FR" w:bidi="ar-SA"/>
    </w:rPr>
  </w:style>
  <w:style w:type="paragraph" w:styleId="18">
    <w:name w:val="List Paragraph"/>
    <w:qFormat/>
    <w:uiPriority w:val="0"/>
    <w:rPr>
      <w:rFonts w:ascii="Times New Roman" w:hAnsi="Times New Roman" w:eastAsia="Times New Roman" w:cs="Times New Roman"/>
      <w:sz w:val="24"/>
      <w:szCs w:val="24"/>
      <w:lang w:val="fr-FR" w:eastAsia="fr-FR" w:bidi="ar-SA"/>
    </w:rPr>
  </w:style>
  <w:style w:type="character" w:customStyle="1" w:styleId="19">
    <w:name w:val="Note de bas de page Car"/>
    <w:link w:val="14"/>
    <w:semiHidden/>
    <w:unhideWhenUsed/>
    <w:qFormat/>
    <w:uiPriority w:val="99"/>
    <w:rPr>
      <w:sz w:val="20"/>
      <w:szCs w:val="20"/>
    </w:rPr>
  </w:style>
  <w:style w:type="character" w:customStyle="1" w:styleId="20">
    <w:name w:val="Note de fin Car"/>
    <w:link w:val="13"/>
    <w:semiHidden/>
    <w:unhideWhenUsed/>
    <w:qFormat/>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6.jpeg"/><Relationship Id="rId8" Type="http://schemas.openxmlformats.org/officeDocument/2006/relationships/image" Target="media/image5.jpeg"/><Relationship Id="rId7" Type="http://schemas.openxmlformats.org/officeDocument/2006/relationships/image" Target="media/image4.jpeg"/><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1.xml"/><Relationship Id="rId11" Type="http://schemas.openxmlformats.org/officeDocument/2006/relationships/image" Target="media/image8.jpeg"/><Relationship Id="rId10" Type="http://schemas.openxmlformats.org/officeDocument/2006/relationships/image" Target="media/image7.jpe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B2E9375-5ACC-4BE1-88E1-06CF7730B6B0}">
  <ds:schemaRefs/>
</ds:datastoreItem>
</file>

<file path=docProps/app.xml><?xml version="1.0" encoding="utf-8"?>
<Properties xmlns="http://schemas.openxmlformats.org/officeDocument/2006/extended-properties" xmlns:vt="http://schemas.openxmlformats.org/officeDocument/2006/docPropsVTypes">
  <Template>Normal.dotm</Template>
  <Pages>9</Pages>
  <Words>302</Words>
  <Characters>2191</Characters>
  <Lines>49</Lines>
  <Paragraphs>14</Paragraphs>
  <TotalTime>6</TotalTime>
  <ScaleCrop>false</ScaleCrop>
  <LinksUpToDate>false</LinksUpToDate>
  <CharactersWithSpaces>2450</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2026-05-19T08:25:00Z</dcterms:created>
  <dc:creator>Un-named</dc:creator>
  <cp:lastModifiedBy>WPS_1744906050</cp:lastModifiedBy>
  <dcterms:modified xsi:type="dcterms:W3CDTF">2026-06-22T08:14:53Z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1036-12.1.0.26880</vt:lpwstr>
  </property>
  <property fmtid="{D5CDD505-2E9C-101B-9397-08002B2CF9AE}" pid="3" name="ICV">
    <vt:lpwstr>F3E91F04A8C2426DAFABB9AF222D7337_13</vt:lpwstr>
  </property>
  <property fmtid="{D5CDD505-2E9C-101B-9397-08002B2CF9AE}" pid="4" name="KSOTemplateDocerSaveRecord">
    <vt:lpwstr>eyJoZGlkIjoiMzI5ZjExYTcxN2UxMDk5NmFkZjllMDE2N2QzZGNkOWYiLCJ1c2VySWQiOiIxNTgyMzI5NTY2OTQ4MyJ9</vt:lpwstr>
  </property>
</Properties>
</file>