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714B67"/>
          <w:sz w:val="32"/>
          <w:szCs w:val="32"/>
        </w:rPr>
        <w:t xml:space="preserve">Acreditación de clientes — Temas a definir con el cliente</w:t>
      </w:r>
    </w:p>
    <w:p>
      <w:pPr>
        <w:spacing w:after="240"/>
        <w:jc w:val="center"/>
      </w:pPr>
      <w:r>
        <w:rPr>
          <w:i/>
          <w:iCs/>
          <w:color w:val="5F5E5A"/>
          <w:sz w:val="22"/>
          <w:szCs w:val="22"/>
        </w:rPr>
        <w:t xml:space="preserve">Expediente digital y flujo de validación de documentos</w:t>
      </w:r>
    </w:p>
    <w:p>
      <w:pPr>
        <w:spacing w:after="200"/>
      </w:pPr>
      <w:r>
        <w:t xml:space="preserve">Este documento reúne las decisiones de negocio pendientes que necesitamos confirmar con el cliente para terminar de configurar el módulo de acreditación. Cada punto debe responderse para avanzar.</w:t>
      </w:r>
    </w:p>
    <w:p>
      <w:pPr>
        <w:pStyle w:val="Heading1"/>
      </w:pPr>
      <w:r>
        <w:t xml:space="preserve">1. Tipos de envase / embalaje (nomenclador)</w:t>
      </w:r>
    </w:p>
    <w:p>
      <w:pPr>
        <w:spacing w:after="200"/>
      </w:pPr>
      <w:r>
        <w:t xml:space="preserve">Hoy el sistema tiene definidos solo 3: Isotanque 20 pies, Isotanque 40 pies e IBC.</w:t>
      </w:r>
    </w:p>
    <w:p>
      <w:pPr>
        <w:pStyle w:val="ListParagraph"/>
        <w:numPr>
          <w:ilvl w:val="0"/>
          <w:numId w:val="2"/>
        </w:numPr>
      </w:pPr>
      <w:r>
        <w:t xml:space="preserve">¿Cuál es la lista completa y definitiva de tipos de envase que se usan en la operación? (Opciones estándar para combustible: flexitank, tambores/drums, GRG, contenedores cisterna, etc. — el cliente debe indicar cuáles aplican.)</w:t>
      </w:r>
    </w:p>
    <w:p>
      <w:pPr>
        <w:pStyle w:val="Heading1"/>
      </w:pPr>
      <w:r>
        <w:t xml:space="preserve">2. Documentos requeridos por tipo de cliente</w:t>
      </w:r>
    </w:p>
    <w:p>
      <w:pPr>
        <w:spacing w:after="200"/>
      </w:pPr>
      <w:r>
        <w:t xml:space="preserve">La lista actual proviene del formulario existente. El cliente debe confirmar que está completa y correcta para cada tipo:</w:t>
      </w:r>
    </w:p>
    <w:p>
      <w:pPr>
        <w:pStyle w:val="ListParagraph"/>
        <w:numPr>
          <w:ilvl w:val="0"/>
          <w:numId w:val="2"/>
        </w:numPr>
      </w:pPr>
      <w:r>
        <w:t xml:space="preserve">Mipyme: escritura notarial, registro mercantil, carnet con el NIT, contrato de banco, certifico de no adeudo. ¿Correcto?</w:t>
      </w:r>
    </w:p>
    <w:p>
      <w:pPr>
        <w:pStyle w:val="ListParagraph"/>
        <w:numPr>
          <w:ilvl w:val="0"/>
          <w:numId w:val="2"/>
        </w:numPr>
      </w:pPr>
      <w:r>
        <w:t xml:space="preserve">Estatal, CNA, Sucursal Extranjera y Proveedor extranjero: ¿sus listas son correctas y completas?</w:t>
      </w:r>
    </w:p>
    <w:p>
      <w:pPr>
        <w:pStyle w:val="ListParagraph"/>
        <w:numPr>
          <w:ilvl w:val="0"/>
          <w:numId w:val="2"/>
        </w:numPr>
      </w:pPr>
      <w:r>
        <w:t xml:space="preserve">Cliente extranjero: actualmente NO tiene ninguna lista de documentos definida. ¿Qué documentos debe subir?</w:t>
      </w:r>
    </w:p>
    <w:p>
      <w:pPr>
        <w:pStyle w:val="ListParagraph"/>
        <w:numPr>
          <w:ilvl w:val="0"/>
          <w:numId w:val="2"/>
        </w:numPr>
      </w:pPr>
      <w:r>
        <w:t xml:space="preserve">¿Algún documento es opcional? Hoy todos son obligatorios.</w:t>
      </w:r>
    </w:p>
    <w:p>
      <w:pPr>
        <w:pStyle w:val="Heading1"/>
      </w:pPr>
      <w:r>
        <w:t xml:space="preserve">3. Validación con Inteligencia Artificial</w:t>
      </w:r>
    </w:p>
    <w:p>
      <w:pPr>
        <w:pStyle w:val="ListParagraph"/>
        <w:numPr>
          <w:ilvl w:val="0"/>
          <w:numId w:val="2"/>
        </w:numPr>
      </w:pPr>
      <w:r>
        <w:t xml:space="preserve">¿Qué tipos de documento reconoce la IA hoy? (¿Ya sabe leer escrituras, registros mercantiles, NIT… o por ahora solo carné de identidad y Bill of Lading?)</w:t>
      </w:r>
    </w:p>
    <w:p>
      <w:pPr>
        <w:pStyle w:val="ListParagraph"/>
        <w:numPr>
          <w:ilvl w:val="0"/>
          <w:numId w:val="2"/>
        </w:numPr>
      </w:pPr>
      <w:r>
        <w:t xml:space="preserve">¿Qué porcentaje de confianza define cada veredicto: Apto / Dudoso / Rechazado?</w:t>
      </w:r>
    </w:p>
    <w:p>
      <w:pPr>
        <w:pStyle w:val="ListParagraph"/>
        <w:numPr>
          <w:ilvl w:val="0"/>
          <w:numId w:val="2"/>
        </w:numPr>
      </w:pPr>
      <w:r>
        <w:t xml:space="preserve">Un documento marcado como “Dudoso”: ¿se rechaza para que el cliente lo vuelva a subir, o pasa a la abogada para que ella decida?</w:t>
      </w:r>
    </w:p>
    <w:p>
      <w:pPr>
        <w:pStyle w:val="Heading1"/>
      </w:pPr>
      <w:r>
        <w:t xml:space="preserve">4. Flujo de aprobación (IA → abogada → comercial)</w:t>
      </w:r>
    </w:p>
    <w:p>
      <w:pPr>
        <w:pStyle w:val="ListParagraph"/>
        <w:numPr>
          <w:ilvl w:val="0"/>
          <w:numId w:val="2"/>
        </w:numPr>
      </w:pPr>
      <w:r>
        <w:t xml:space="preserve">¿La abogada y la comercial son roles distintos con permisos separados, o es el mismo equipo?</w:t>
      </w:r>
    </w:p>
    <w:p>
      <w:pPr>
        <w:pStyle w:val="ListParagraph"/>
        <w:numPr>
          <w:ilvl w:val="0"/>
          <w:numId w:val="2"/>
        </w:numPr>
      </w:pPr>
      <w:r>
        <w:t xml:space="preserve">Cuando todos los documentos quedan aprobados, ¿el cliente se acredita automáticamente o alguien lo hace manualmente?</w:t>
      </w:r>
    </w:p>
    <w:p>
      <w:pPr>
        <w:pStyle w:val="ListParagraph"/>
        <w:numPr>
          <w:ilvl w:val="0"/>
          <w:numId w:val="2"/>
        </w:numPr>
      </w:pPr>
      <w:r>
        <w:t xml:space="preserve">¿Existe un plazo (SLA) máximo para cada paso de revisión?</w:t>
      </w:r>
    </w:p>
    <w:p>
      <w:pPr>
        <w:pStyle w:val="Heading1"/>
      </w:pPr>
      <w:r>
        <w:t xml:space="preserve">5. Correo de notas al cliente</w:t>
      </w:r>
    </w:p>
    <w:p>
      <w:pPr>
        <w:pStyle w:val="ListParagraph"/>
        <w:numPr>
          <w:ilvl w:val="0"/>
          <w:numId w:val="2"/>
        </w:numPr>
      </w:pPr>
      <w:r>
        <w:t xml:space="preserve">Remitente del correo: ¿la cuenta de la persona que revisa (abogada) o un correo institucional genérico (por ejemplo acreditacion@empresa.com)?</w:t>
      </w:r>
    </w:p>
    <w:p>
      <w:pPr>
        <w:pStyle w:val="ListParagraph"/>
        <w:numPr>
          <w:ilvl w:val="0"/>
          <w:numId w:val="2"/>
        </w:numPr>
      </w:pPr>
      <w:r>
        <w:t xml:space="preserve">¿Qué se envía? ¿Las notas de un documento concreto, o un resumen del expediente completo con todo lo que el cliente debe corregir?</w:t>
      </w:r>
    </w:p>
    <w:p>
      <w:pPr>
        <w:pStyle w:val="ListParagraph"/>
        <w:numPr>
          <w:ilvl w:val="0"/>
          <w:numId w:val="2"/>
        </w:numPr>
      </w:pPr>
      <w:r>
        <w:t xml:space="preserve">¿El cliente debe recibir un correo automático cada vez que cambia el estado, o solo cuando alguien pulsa “Enviar notas”?</w:t>
      </w:r>
    </w:p>
    <w:p>
      <w:pPr>
        <w:pStyle w:val="Heading1"/>
      </w:pPr>
      <w:r>
        <w:t xml:space="preserve">6. Vigencia de documentos</w:t>
      </w:r>
    </w:p>
    <w:p>
      <w:pPr>
        <w:pStyle w:val="ListParagraph"/>
        <w:numPr>
          <w:ilvl w:val="0"/>
          <w:numId w:val="2"/>
        </w:numPr>
      </w:pPr>
      <w:r>
        <w:t xml:space="preserve">¿Algún documento caduca / vence y hay que volver a solicitarlo periódicamente?</w:t>
      </w:r>
    </w:p>
    <w:p>
      <w:pPr>
        <w:pStyle w:val="Heading1"/>
      </w:pPr>
      <w:r>
        <w:t xml:space="preserve">7. Datos extraídos por la IA (OCR)</w:t>
      </w:r>
    </w:p>
    <w:p>
      <w:pPr>
        <w:pStyle w:val="ListParagraph"/>
        <w:numPr>
          <w:ilvl w:val="0"/>
          <w:numId w:val="2"/>
        </w:numPr>
      </w:pPr>
      <w:r>
        <w:t xml:space="preserve">¿Qué datos debe extraer la IA por cada tipo de documento (NIT, nombre, fecha de vencimiento…)?</w:t>
      </w:r>
    </w:p>
    <w:p>
      <w:pPr>
        <w:pStyle w:val="ListParagraph"/>
        <w:numPr>
          <w:ilvl w:val="0"/>
          <w:numId w:val="2"/>
        </w:numPr>
      </w:pPr>
      <w:r>
        <w:t xml:space="preserve">¿Esos datos deben validarse contra lo que el cliente escribió en el formulario? (Por ejemplo, que el NIT del carné coincida con el NIT declarado.)</w:t>
      </w:r>
    </w:p>
    <w:p>
      <w:pPr>
        <w:pStyle w:val="Heading1"/>
      </w:pPr>
      <w:r>
        <w:t xml:space="preserve">8. Auditoría</w:t>
      </w:r>
    </w:p>
    <w:p>
      <w:pPr>
        <w:pStyle w:val="ListParagraph"/>
        <w:numPr>
          <w:ilvl w:val="0"/>
          <w:numId w:val="2"/>
        </w:numPr>
      </w:pPr>
      <w:r>
        <w:t xml:space="preserve">¿Se necesita un historial formal de quién aprobó o rechazó cada documento y cuándo?</w:t>
      </w:r>
    </w:p>
    <w:p>
      <w:pPr>
        <w:pBdr>
          <w:top w:val="single" w:color="CCCCCC" w:sz="6" w:space="6"/>
        </w:pBdr>
        <w:spacing w:before="400"/>
      </w:pPr>
      <w:r>
        <w:rPr>
          <w:i/>
          <w:iCs/>
          <w:color w:val="888780"/>
          <w:sz w:val="18"/>
          <w:szCs w:val="18"/>
        </w:rPr>
        <w:t xml:space="preserve">Documento de trabajo interno — Pyxel. Pendiente de confirmación con el cliente.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14B6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2026-06-16T19:59:55.001Z</dcterms:created>
  <dcterms:modified xsi:type="dcterms:W3CDTF">2026-06-16T19:59:55.002Z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