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pPr>
      <w:r>
        <w:rPr>
          <w:rFonts w:ascii="Arial" w:cs="Arial" w:eastAsia="Arial" w:hAnsi="Arial"/>
          <w:b/>
          <w:bCs/>
          <w:color w:val="3675A8"/>
          <w:sz w:val="22"/>
          <w:szCs w:val="22"/>
        </w:rPr>
        <w:t xml:space="preserve">ENETRADEX</w:t>
      </w:r>
    </w:p>
    <w:p>
      <w:pPr>
        <w:spacing w:after="200"/>
      </w:pPr>
      <w:r>
        <w:rPr>
          <w:rFonts w:ascii="Arial" w:cs="Arial" w:eastAsia="Arial" w:hAnsi="Arial"/>
          <w:b/>
          <w:bCs/>
          <w:color w:val="1A2E4A"/>
          <w:sz w:val="48"/>
          <w:szCs w:val="48"/>
        </w:rPr>
        <w:t xml:space="preserve">Wizard de Acreditación e Importación</w:t>
      </w:r>
    </w:p>
    <w:p>
      <w:pPr>
        <w:spacing w:after="600"/>
      </w:pPr>
      <w:r>
        <w:rPr>
          <w:rFonts w:ascii="Arial" w:cs="Arial" w:eastAsia="Arial" w:hAnsi="Arial"/>
          <w:color w:val="5B6B85"/>
          <w:sz w:val="26"/>
          <w:szCs w:val="26"/>
        </w:rPr>
        <w:t xml:space="preserve">Manual de flujo, guía de uso y matriz de casos de prueba — Equipo de Operaciones</w:t>
      </w:r>
    </w:p>
    <w:p>
      <w:pPr>
        <w:spacing w:after="160" w:before="0"/>
      </w:pPr>
      <w:r>
        <w:rPr>
          <w:rFonts w:ascii="Arial" w:cs="Arial" w:eastAsia="Arial" w:hAnsi="Arial"/>
          <w:b w:val="false"/>
          <w:bCs w:val="false"/>
          <w:i w:val="false"/>
          <w:iCs w:val="false"/>
          <w:color w:val="5B6B85"/>
          <w:sz w:val="22"/>
          <w:szCs w:val="22"/>
        </w:rPr>
        <w:t>Fecha: 10 de julio de 2026 (actualizado 14 de julio de 2026)</w:t>
      </w:r>
    </w:p>
    <w:p>
      <w:pPr>
        <w:spacing w:after="160" w:before="0"/>
      </w:pPr>
      <w:r>
        <w:rPr>
          <w:rFonts w:ascii="Arial" w:cs="Arial" w:eastAsia="Arial" w:hAnsi="Arial"/>
          <w:b w:val="false"/>
          <w:bCs w:val="false"/>
          <w:i w:val="false"/>
          <w:iCs w:val="false"/>
          <w:color w:val="5B6B85"/>
          <w:sz w:val="22"/>
          <w:szCs w:val="22"/>
        </w:rPr>
        <w:t xml:space="preserve">Alcance: /en/wizard — acreditación de clientes y proveedores, y solicitud de importación</w:t>
      </w:r>
    </w:p>
    <w:p>
      <w:pPr>
        <w:pageBreakBefore/>
      </w:pPr>
      <w:r>
        <w:br/>
        <w:t xml:space="preserve"/>
      </w:r>
    </w:p>
    <w:p>
      <w:pPr>
        <w:pStyle w:val="Heading1"/>
        <w:spacing w:after="200" w:before="400"/>
      </w:pPr>
      <w:r>
        <w:rPr>
          <w:rFonts w:ascii="Arial" w:cs="Arial" w:eastAsia="Arial" w:hAnsi="Arial"/>
        </w:rPr>
        <w:t xml:space="preserve">1. Manual de usuario</w:t>
      </w:r>
    </w:p>
    <w:p>
      <w:pPr>
        <w:spacing w:after="160" w:before="0"/>
      </w:pPr>
      <w:r>
        <w:rPr>
          <w:rFonts w:ascii="Arial" w:cs="Arial" w:eastAsia="Arial" w:hAnsi="Arial"/>
          <w:b w:val="false"/>
          <w:bCs w:val="false"/>
          <w:i w:val="false"/>
          <w:iCs w:val="false"/>
          <w:sz w:val="22"/>
          <w:szCs w:val="22"/>
        </w:rPr>
        <w:t xml:space="preserve">Guía práctica de cómo se usa el asistente de acreditación, para el equipo de Operaciones y para dar soporte a clientes y proveedores.</w:t>
      </w:r>
    </w:p>
    <w:p>
      <w:pPr>
        <w:pStyle w:val="Heading2"/>
        <w:spacing w:after="160" w:before="300"/>
      </w:pPr>
      <w:r>
        <w:rPr>
          <w:rFonts w:ascii="Arial" w:cs="Arial" w:eastAsia="Arial" w:hAnsi="Arial"/>
        </w:rPr>
        <w:t xml:space="preserve">1.1 Si eres CLIENTE (empresa cubana que quiere importar combustible)</w:t>
      </w:r>
    </w:p>
    <w:p>
      <w:pPr>
        <w:pStyle w:val="Heading3"/>
        <w:spacing w:after="120" w:before="220"/>
      </w:pPr>
      <w:r>
        <w:rPr>
          <w:rFonts w:ascii="Arial" w:cs="Arial" w:eastAsia="Arial" w:hAnsi="Arial"/>
          <w:b/>
          <w:bCs/>
          <w:color w:val="1A2E4A"/>
        </w:rPr>
        <w:t xml:space="preserve">Para acreditarte por primera vez</w:t>
      </w:r>
    </w:p>
    <w:p>
      <w:pPr>
        <w:spacing w:after="100"/>
      </w:pPr>
      <w:r>
        <w:rPr>
          <w:rFonts w:ascii="Arial" w:cs="Arial" w:eastAsia="Arial" w:hAnsi="Arial"/>
          <w:b/>
          <w:bCs/>
          <w:color w:val="3675A8"/>
          <w:sz w:val="22"/>
          <w:szCs w:val="22"/>
        </w:rPr>
        <w:t xml:space="preserve">1. </w:t>
      </w:r>
      <w:r>
        <w:rPr>
          <w:rFonts w:ascii="Arial" w:cs="Arial" w:eastAsia="Arial" w:hAnsi="Arial"/>
          <w:sz w:val="22"/>
          <w:szCs w:val="22"/>
        </w:rPr>
        <w:t xml:space="preserve">Entra a la web y pulsa “Acreditarme”.</w:t>
      </w:r>
    </w:p>
    <w:p>
      <w:pPr>
        <w:spacing w:after="100"/>
      </w:pPr>
      <w:r>
        <w:rPr>
          <w:rFonts w:ascii="Arial" w:cs="Arial" w:eastAsia="Arial" w:hAnsi="Arial"/>
          <w:b/>
          <w:bCs/>
          <w:color w:val="3675A8"/>
          <w:sz w:val="22"/>
          <w:szCs w:val="22"/>
        </w:rPr>
        <w:t xml:space="preserve">2. </w:t>
      </w:r>
      <w:r>
        <w:rPr>
          <w:rFonts w:ascii="Arial" w:cs="Arial" w:eastAsia="Arial" w:hAnsi="Arial"/>
          <w:sz w:val="22"/>
          <w:szCs w:val="22"/>
        </w:rPr>
        <w:t xml:space="preserve">Si no tienes cuenta, el sistema te pide crearla primero (o iniciar sesión si ya la tienes); después te lleva directo al asistente.</w:t>
      </w:r>
    </w:p>
    <w:p>
      <w:pPr>
        <w:spacing w:after="100"/>
      </w:pPr>
      <w:r>
        <w:rPr>
          <w:rFonts w:ascii="Arial" w:cs="Arial" w:eastAsia="Arial" w:hAnsi="Arial"/>
          <w:b/>
          <w:bCs/>
          <w:color w:val="3675A8"/>
          <w:sz w:val="22"/>
          <w:szCs w:val="22"/>
        </w:rPr>
        <w:t xml:space="preserve">3. </w:t>
      </w:r>
      <w:r>
        <w:rPr>
          <w:rFonts w:ascii="Arial" w:cs="Arial" w:eastAsia="Arial" w:hAnsi="Arial"/>
          <w:sz w:val="22"/>
          <w:szCs w:val="22"/>
        </w:rPr>
        <w:t xml:space="preserve">Elige la tarjeta “Cliente”.</w:t>
      </w:r>
    </w:p>
    <w:p>
      <w:pPr>
        <w:spacing w:after="100"/>
      </w:pPr>
      <w:r>
        <w:rPr>
          <w:rFonts w:ascii="Arial" w:cs="Arial" w:eastAsia="Arial" w:hAnsi="Arial"/>
          <w:b/>
          <w:bCs/>
          <w:color w:val="3675A8"/>
          <w:sz w:val="22"/>
          <w:szCs w:val="22"/>
        </w:rPr>
        <w:t xml:space="preserve">4. </w:t>
      </w:r>
      <w:r>
        <w:rPr>
          <w:rFonts w:ascii="Arial" w:cs="Arial" w:eastAsia="Arial" w:hAnsi="Arial"/>
          <w:sz w:val="22"/>
          <w:szCs w:val="22"/>
        </w:rPr>
        <w:t xml:space="preserve">En “Mis datos”, elige tu tipo de empresa (Pymes, Estatal, CNA o Sucursal Extranjera); al elegirlo aparece la lista de documentos que te corresponde subir. Escribe el nombre de tu empresa (obligatorio) y, si tienes NIT a mano, escríbelo — debe tener exactamente 11 números.</w:t>
      </w:r>
    </w:p>
    <w:p>
      <w:pPr>
        <w:spacing w:after="100"/>
      </w:pPr>
      <w:r>
        <w:rPr>
          <w:rFonts w:ascii="Arial" w:cs="Arial" w:eastAsia="Arial" w:hAnsi="Arial"/>
          <w:b/>
          <w:bCs/>
          <w:color w:val="3675A8"/>
          <w:sz w:val="22"/>
          <w:szCs w:val="22"/>
        </w:rPr>
        <w:t xml:space="preserve">5. </w:t>
      </w:r>
      <w:r>
        <w:rPr>
          <w:rFonts w:ascii="Arial" w:cs="Arial" w:eastAsia="Arial" w:hAnsi="Arial"/>
          <w:sz w:val="22"/>
          <w:szCs w:val="22"/>
        </w:rPr>
        <w:t xml:space="preserve">En “Solicitud”, indica qué combustible necesitas, cuánto, y elige forma de pago y presupuesto disponible. Puedes agregar varios productos con el botón “+ Agregar producto”.</w:t>
      </w:r>
    </w:p>
    <w:p>
      <w:pPr>
        <w:spacing w:after="100"/>
      </w:pPr>
      <w:r>
        <w:rPr>
          <w:rFonts w:ascii="Arial" w:cs="Arial" w:eastAsia="Arial" w:hAnsi="Arial"/>
          <w:b/>
          <w:bCs/>
          <w:color w:val="3675A8"/>
          <w:sz w:val="22"/>
          <w:szCs w:val="22"/>
        </w:rPr>
        <w:t xml:space="preserve">6. </w:t>
      </w:r>
      <w:r>
        <w:rPr>
          <w:rFonts w:ascii="Arial" w:cs="Arial" w:eastAsia="Arial" w:hAnsi="Arial"/>
          <w:sz w:val="22"/>
          <w:szCs w:val="22"/>
        </w:rPr>
        <w:t xml:space="preserve">En “Proveedor”, indica cómo prefieres conseguirlo: “Ya tengo un proveedor” (cartera, registrarlo o invitarlo), “Buscar en el catálogo” (ofertas ya publicadas), o “Que me coticen” (ENETEC sale al mercado por ti).</w:t>
      </w:r>
    </w:p>
    <w:p>
      <w:pPr>
        <w:spacing w:after="100"/>
      </w:pPr>
      <w:r>
        <w:rPr>
          <w:rFonts w:ascii="Arial" w:cs="Arial" w:eastAsia="Arial" w:hAnsi="Arial"/>
          <w:b/>
          <w:bCs/>
          <w:color w:val="3675A8"/>
          <w:sz w:val="22"/>
          <w:szCs w:val="22"/>
        </w:rPr>
        <w:t xml:space="preserve">7. </w:t>
      </w:r>
      <w:r>
        <w:rPr>
          <w:rFonts w:ascii="Arial" w:cs="Arial" w:eastAsia="Arial" w:hAnsi="Arial"/>
          <w:sz w:val="22"/>
          <w:szCs w:val="22"/>
        </w:rPr>
        <w:t xml:space="preserve">Si tu solicitud lo amerita, puedes adjuntar documentos del embarque (opcional, se pueden aportar después).</w:t>
      </w:r>
    </w:p>
    <w:p>
      <w:pPr>
        <w:spacing w:after="100"/>
      </w:pPr>
      <w:r>
        <w:rPr>
          <w:rFonts w:ascii="Arial" w:cs="Arial" w:eastAsia="Arial" w:hAnsi="Arial"/>
          <w:b/>
          <w:bCs/>
          <w:color w:val="3675A8"/>
          <w:sz w:val="22"/>
          <w:szCs w:val="22"/>
        </w:rPr>
        <w:t xml:space="preserve">8. </w:t>
      </w:r>
      <w:r>
        <w:rPr>
          <w:rFonts w:ascii="Arial" w:cs="Arial" w:eastAsia="Arial" w:hAnsi="Arial"/>
          <w:sz w:val="22"/>
          <w:szCs w:val="22"/>
        </w:rPr>
        <w:t xml:space="preserve">Revisa todo en “Resumen” y pulsa Enviar.</w:t>
      </w:r>
    </w:p>
    <w:p>
      <w:pPr>
        <w:spacing w:after="160" w:before="0"/>
      </w:pPr>
      <w:r>
        <w:rPr>
          <w:rFonts w:ascii="Arial" w:cs="Arial" w:eastAsia="Arial" w:hAnsi="Arial"/>
          <w:b/>
          <w:bCs/>
          <w:i w:val="false"/>
          <w:iCs w:val="false"/>
          <w:color w:val="A8650C"/>
          <w:sz w:val="22"/>
          <w:szCs w:val="22"/>
        </w:rPr>
        <w:t xml:space="preserve">Nota: </w:t>
      </w:r>
      <w:r>
        <w:rPr>
          <w:rFonts w:ascii="Arial" w:cs="Arial" w:eastAsia="Arial" w:hAnsi="Arial"/>
          <w:b w:val="false"/>
          <w:bCs w:val="false"/>
          <w:i w:val="false"/>
          <w:iCs w:val="false"/>
          <w:sz w:val="22"/>
          <w:szCs w:val="22"/>
        </w:rPr>
        <w:t xml:space="preserve">si solo quieres acreditarte y todavía no vas a pedir una importación, hay un botón “Omitir → Solo quiero acreditarme” que salta directo al resumen.</w:t>
      </w:r>
    </w:p>
    <w:p>
      <w:pPr>
        <w:spacing w:after="160" w:before="0"/>
      </w:pPr>
      <w:r>
        <w:rPr>
          <w:rFonts w:ascii="Arial" w:cs="Arial" w:eastAsia="Arial" w:hAnsi="Arial"/>
          <w:b w:val="false"/>
          <w:bCs w:val="false"/>
          <w:i w:val="false"/>
          <w:iCs w:val="false"/>
          <w:sz w:val="22"/>
          <w:szCs w:val="22"/>
        </w:rPr>
        <w:t xml:space="preserve">Después de enviar: un abogado revisa tus documentos y te acredita. Tu solicitud queda “Pendiente de acreditación” hasta que tú y tu proveedor estén ambos acreditados — la solicitud sigue su curso sola y se activa apenas se completen ambas acreditaciones.</w:t>
      </w:r>
    </w:p>
    <w:p>
      <w:pPr>
        <w:pStyle w:val="Heading3"/>
        <w:spacing w:after="120" w:before="220"/>
      </w:pPr>
      <w:r>
        <w:rPr>
          <w:rFonts w:ascii="Arial" w:cs="Arial" w:eastAsia="Arial" w:hAnsi="Arial"/>
          <w:b/>
          <w:bCs/>
          <w:color w:val="1A2E4A"/>
        </w:rPr>
        <w:t xml:space="preserve">Si ya estás acreditado y quieres pedir otra importación</w:t>
      </w:r>
    </w:p>
    <w:p>
      <w:pPr>
        <w:pStyle w:val="ListParagraph"/>
        <w:numPr>
          <w:ilvl w:val="0"/>
          <w:numId w:val="1"/>
        </w:numPr>
        <w:spacing w:after="90"/>
      </w:pPr>
      <w:r>
        <w:rPr>
          <w:rFonts w:ascii="Arial" w:cs="Arial" w:eastAsia="Arial" w:hAnsi="Arial"/>
          <w:b/>
          <w:bCs/>
          <w:sz w:val="22"/>
          <w:szCs w:val="22"/>
        </w:rPr>
        <w:t xml:space="preserve">Pulsa “Importar” (no “Acreditarme”)</w:t>
      </w:r>
      <w:r>
        <w:rPr>
          <w:rFonts w:ascii="Arial" w:cs="Arial" w:eastAsia="Arial" w:hAnsi="Arial"/>
          <w:b w:val="false"/>
          <w:bCs w:val="false"/>
          <w:sz w:val="22"/>
          <w:szCs w:val="22"/>
        </w:rPr>
        <w:t xml:space="preserve"> — el sistema ya sabe quién eres y te lleva directo a “Solicitud”, sin repetir Rol y Mis datos.</w:t>
      </w:r>
    </w:p>
    <w:p>
      <w:pPr>
        <w:pStyle w:val="ListParagraph"/>
        <w:numPr>
          <w:ilvl w:val="0"/>
          <w:numId w:val="1"/>
        </w:numPr>
        <w:spacing w:after="90"/>
      </w:pPr>
      <w:r>
        <w:rPr>
          <w:rFonts w:ascii="Arial" w:cs="Arial" w:eastAsia="Arial" w:hAnsi="Arial"/>
          <w:sz w:val="22"/>
          <w:szCs w:val="22"/>
        </w:rPr>
        <w:t xml:space="preserve">Si en cambio pulsas “Acreditarme” estando ya acreditado, te manda a tu página de seguimiento — no hace falta que vuelvas a acreditarte.</w:t>
      </w:r>
    </w:p>
    <w:p>
      <w:pPr>
        <w:pStyle w:val="Heading2"/>
        <w:spacing w:after="160" w:before="300"/>
      </w:pPr>
      <w:r>
        <w:rPr>
          <w:rFonts w:ascii="Arial" w:cs="Arial" w:eastAsia="Arial" w:hAnsi="Arial"/>
        </w:rPr>
        <w:t xml:space="preserve">1.2 Si eres PROVEEDOR (empresa extranjera que quiere vender combustible en Cuba)</w:t>
      </w:r>
    </w:p>
    <w:p>
      <w:pPr>
        <w:pStyle w:val="Heading3"/>
        <w:spacing w:after="120" w:before="220"/>
      </w:pPr>
      <w:r>
        <w:rPr>
          <w:rFonts w:ascii="Arial" w:cs="Arial" w:eastAsia="Arial" w:hAnsi="Arial"/>
          <w:b/>
          <w:bCs/>
          <w:color w:val="1A2E4A"/>
        </w:rPr>
        <w:t xml:space="preserve">Para acreditarte por primera vez</w:t>
      </w:r>
    </w:p>
    <w:p>
      <w:pPr>
        <w:spacing w:after="100"/>
      </w:pPr>
      <w:r>
        <w:rPr>
          <w:rFonts w:ascii="Arial" w:cs="Arial" w:eastAsia="Arial" w:hAnsi="Arial"/>
          <w:b/>
          <w:bCs/>
          <w:color w:val="3675A8"/>
          <w:sz w:val="22"/>
          <w:szCs w:val="22"/>
        </w:rPr>
        <w:t xml:space="preserve">1. </w:t>
      </w:r>
      <w:r>
        <w:rPr>
          <w:rFonts w:ascii="Arial" w:cs="Arial" w:eastAsia="Arial" w:hAnsi="Arial"/>
          <w:sz w:val="22"/>
          <w:szCs w:val="22"/>
        </w:rPr>
        <w:t xml:space="preserve">Entra y pulsa “Acreditarme” → elige la tarjeta “Proveedor”.</w:t>
      </w:r>
    </w:p>
    <w:p>
      <w:pPr>
        <w:spacing w:after="100"/>
      </w:pPr>
      <w:r>
        <w:rPr>
          <w:rFonts w:ascii="Arial" w:cs="Arial" w:eastAsia="Arial" w:hAnsi="Arial"/>
          <w:b/>
          <w:bCs/>
          <w:color w:val="3675A8"/>
          <w:sz w:val="22"/>
          <w:szCs w:val="22"/>
        </w:rPr>
        <w:t xml:space="preserve">2. </w:t>
      </w:r>
      <w:r>
        <w:rPr>
          <w:rFonts w:ascii="Arial" w:cs="Arial" w:eastAsia="Arial" w:hAnsi="Arial"/>
          <w:sz w:val="22"/>
          <w:szCs w:val="22"/>
        </w:rPr>
        <w:t xml:space="preserve">En “Mis datos” completa el nombre de tu empresa, país, clasificación (Productor/Comerciante) y los 5 documentos requeridos.</w:t>
      </w:r>
    </w:p>
    <w:p>
      <w:pPr>
        <w:spacing w:after="100"/>
      </w:pPr>
      <w:r>
        <w:rPr>
          <w:rFonts w:ascii="Arial" w:cs="Arial" w:eastAsia="Arial" w:hAnsi="Arial"/>
          <w:b/>
          <w:bCs/>
          <w:color w:val="3675A8"/>
          <w:sz w:val="22"/>
          <w:szCs w:val="22"/>
        </w:rPr>
        <w:t xml:space="preserve">3. </w:t>
      </w:r>
      <w:r>
        <w:rPr>
          <w:rFonts w:ascii="Arial" w:cs="Arial" w:eastAsia="Arial" w:hAnsi="Arial"/>
          <w:sz w:val="22"/>
          <w:szCs w:val="22"/>
        </w:rPr>
        <w:t xml:space="preserve">En “Oferta”, arma tu cotización: elige el producto real del desplegable, cantidad, envase, precio; agrega flete y seguro — el total se calcula solo.</w:t>
      </w:r>
    </w:p>
    <w:p>
      <w:pPr>
        <w:spacing w:after="100"/>
      </w:pPr>
      <w:r>
        <w:rPr>
          <w:rFonts w:ascii="Arial" w:cs="Arial" w:eastAsia="Arial" w:hAnsi="Arial"/>
          <w:b/>
          <w:bCs/>
          <w:color w:val="3675A8"/>
          <w:sz w:val="22"/>
          <w:szCs w:val="22"/>
        </w:rPr>
        <w:t>4. En “Clientes”, indica a quién le ofreces (4 opciones): “Ya tengo clientes” (marca de tu cartera real), “Sumar clientes nuevos” (acréditalos con sus datos o invítalos), “Es consignación” (aún no tienes cliente final, ENETEC queda como responsable temporal), o “Difundir mi oferta” (a clientes que aceptan recibir ofertas, esta opción no genera importación).</w:t>
      </w:r>
      <w:r>
        <w:rPr>
          <w:rFonts w:ascii="Arial" w:cs="Arial" w:eastAsia="Arial" w:hAnsi="Arial"/>
          <w:sz w:val="22"/>
          <w:szCs w:val="22"/>
        </w:rPr>
      </w:r>
    </w:p>
    <w:p>
      <w:pPr/>
      <w:r>
        <w:t>5. Si elegiste cartera, clientes nuevos o consignación, aparece un paso opcional “Documentos del embarque”: país de origen, certificados que aplican a todo el envío, y — por cada cliente — su número de BL/AWB y sus documentos propios (oferta firmada, factura comercial, lista de empaque, permisos). Puedes dejarlo en blanco y completarlo después.</w:t>
      </w:r>
    </w:p>
    <w:p>
      <w:pPr>
        <w:spacing w:after="100"/>
      </w:pPr>
      <w:r>
        <w:rPr>
          <w:rFonts w:ascii="Arial" w:cs="Arial" w:eastAsia="Arial" w:hAnsi="Arial"/>
          <w:b/>
          <w:bCs/>
          <w:color w:val="3675A8"/>
          <w:sz w:val="22"/>
          <w:szCs w:val="22"/>
        </w:rPr>
        <w:t>6. Revisa en “Resumen” y pulsa Enviar.</w:t>
      </w:r>
      <w:r>
        <w:rPr>
          <w:rFonts w:ascii="Arial" w:cs="Arial" w:eastAsia="Arial" w:hAnsi="Arial"/>
          <w:sz w:val="22"/>
          <w:szCs w:val="22"/>
        </w:rPr>
      </w:r>
    </w:p>
    <w:p>
      <w:pPr/>
      <w:r>
        <w:t>Qué pasa al enviar con clientes reales: además de tu oferta, se crea una importación real con una Orden de Compra en borrador por cada cliente (con el precio de tu oferta ya cargado) — el equipo comercial la revisa, la completa y la aprueba; tú no tienes que volver a escribir esos datos.</w:t>
      </w:r>
    </w:p>
    <w:p>
      <w:pPr>
        <w:pStyle w:val="Heading3"/>
        <w:spacing w:after="120" w:before="220"/>
      </w:pPr>
      <w:r>
        <w:rPr>
          <w:rFonts w:ascii="Arial" w:cs="Arial" w:eastAsia="Arial" w:hAnsi="Arial"/>
          <w:b/>
          <w:bCs/>
          <w:color w:val="1A2E4A"/>
        </w:rPr>
        <w:t xml:space="preserve">Si ya estás acreditado y quieres actualizar tu oferta</w:t>
      </w:r>
    </w:p>
    <w:p>
      <w:pPr>
        <w:spacing w:after="160" w:before="0"/>
      </w:pPr>
      <w:r>
        <w:rPr>
          <w:rFonts w:ascii="Arial" w:cs="Arial" w:eastAsia="Arial" w:hAnsi="Arial"/>
          <w:b w:val="false"/>
          <w:bCs w:val="false"/>
          <w:i w:val="false"/>
          <w:iCs w:val="false"/>
          <w:sz w:val="22"/>
          <w:szCs w:val="22"/>
        </w:rPr>
        <w:t>Pulsa “Importar” igual que el cliente — te lleva directo a “Oferta”, sin repetir Rol/Mis datos. El paso de Clientes y Documentos del embarque funcionan igual que la primera vez.</w:t>
      </w:r>
    </w:p>
    <w:p>
      <w:pPr>
        <w:pStyle w:val="Heading3"/>
        <w:spacing w:after="120" w:before="220"/>
      </w:pPr>
      <w:r>
        <w:rPr>
          <w:rFonts w:ascii="Arial" w:cs="Arial" w:eastAsia="Arial" w:hAnsi="Arial"/>
          <w:b/>
          <w:bCs/>
          <w:color w:val="1A2E4A"/>
        </w:rPr>
        <w:t xml:space="preserve">Para aparecer en el catálogo público</w:t>
      </w:r>
    </w:p>
    <w:p>
      <w:pPr>
        <w:spacing w:after="160" w:before="0"/>
      </w:pPr>
      <w:r>
        <w:rPr>
          <w:rFonts w:ascii="Arial" w:cs="Arial" w:eastAsia="Arial" w:hAnsi="Arial"/>
          <w:b w:val="false"/>
          <w:bCs w:val="false"/>
          <w:i w:val="false"/>
          <w:iCs w:val="false"/>
          <w:sz w:val="22"/>
          <w:szCs w:val="22"/>
        </w:rPr>
        <w:t xml:space="preserve">Marca la casilla “Mis datos pueden ser visibles para clientes” en Mis datos. Además de marcarla, necesitas tener al menos una oferta publicada con productos y precios; si no, aunque seas visible, no vas a aparecer con nada que ofrecer.</w:t>
      </w:r>
    </w:p>
    <w:p>
      <w:pPr>
        <w:pStyle w:val="Heading2"/>
        <w:spacing w:after="160" w:before="300"/>
      </w:pPr>
      <w:r>
        <w:rPr>
          <w:rFonts w:ascii="Arial" w:cs="Arial" w:eastAsia="Arial" w:hAnsi="Arial"/>
        </w:rPr>
        <w:t xml:space="preserve">1.3 Preguntas frecuentes</w:t>
      </w:r>
    </w:p>
    <w:p>
      <w:pPr>
        <w:pStyle w:val="ListParagraph"/>
        <w:numPr>
          <w:ilvl w:val="0"/>
          <w:numId w:val="1"/>
        </w:numPr>
        <w:spacing w:after="90"/>
      </w:pPr>
      <w:r>
        <w:rPr>
          <w:rFonts w:ascii="Arial" w:cs="Arial" w:eastAsia="Arial" w:hAnsi="Arial"/>
          <w:b/>
          <w:bCs/>
          <w:sz w:val="22"/>
          <w:szCs w:val="22"/>
        </w:rPr>
        <w:t xml:space="preserve">¿Qué pasa si no tengo proveedor todavía y quiero que ENETEC me cotice? </w:t>
      </w:r>
      <w:r>
        <w:rPr>
          <w:rFonts w:ascii="Arial" w:cs="Arial" w:eastAsia="Arial" w:hAnsi="Arial"/>
          <w:b w:val="false"/>
          <w:bCs w:val="false"/>
          <w:sz w:val="22"/>
          <w:szCs w:val="22"/>
        </w:rPr>
        <w:t xml:space="preserve">Tu solicitud se registra igual, con un proveedor “por designar” mientras se consigue uno real — no se pierde tu información.</w:t>
      </w:r>
    </w:p>
    <w:p>
      <w:pPr>
        <w:pStyle w:val="ListParagraph"/>
        <w:numPr>
          <w:ilvl w:val="0"/>
          <w:numId w:val="1"/>
        </w:numPr>
        <w:spacing w:after="90"/>
      </w:pPr>
      <w:r>
        <w:rPr>
          <w:rFonts w:ascii="Arial" w:cs="Arial" w:eastAsia="Arial" w:hAnsi="Arial"/>
          <w:b/>
          <w:bCs/>
          <w:sz w:val="22"/>
          <w:szCs w:val="22"/>
        </w:rPr>
        <w:t xml:space="preserve">¿Tengo que llenar todo en Mis datos? </w:t>
      </w:r>
      <w:r>
        <w:rPr>
          <w:rFonts w:ascii="Arial" w:cs="Arial" w:eastAsia="Arial" w:hAnsi="Arial"/>
          <w:b w:val="false"/>
          <w:bCs w:val="false"/>
          <w:sz w:val="22"/>
          <w:szCs w:val="22"/>
        </w:rPr>
        <w:t xml:space="preserve">El nombre de la empresa sí es obligatorio. Los documentos no son obligatorios para avanzar — se revisan igual en la acreditación.</w:t>
      </w:r>
    </w:p>
    <w:p>
      <w:pPr>
        <w:pStyle w:val="ListParagraph"/>
        <w:numPr>
          <w:ilvl w:val="0"/>
          <w:numId w:val="1"/>
        </w:numPr>
        <w:spacing w:after="90"/>
      </w:pPr>
      <w:r>
        <w:rPr>
          <w:rFonts w:ascii="Arial" w:cs="Arial" w:eastAsia="Arial" w:hAnsi="Arial"/>
          <w:b/>
          <w:bCs/>
          <w:sz w:val="22"/>
          <w:szCs w:val="22"/>
        </w:rPr>
        <w:t xml:space="preserve">¿Puedo cambiar de opinión después de omitir la solicitud? </w:t>
      </w:r>
      <w:r>
        <w:rPr>
          <w:rFonts w:ascii="Arial" w:cs="Arial" w:eastAsia="Arial" w:hAnsi="Arial"/>
          <w:b w:val="false"/>
          <w:bCs w:val="false"/>
          <w:sz w:val="22"/>
          <w:szCs w:val="22"/>
        </w:rPr>
        <w:t xml:space="preserve">Sí, desde el Resumen hay un enlace “¿Quieres añadir solicitud?” que regresa al paso Solicitud.</w:t>
      </w:r>
    </w:p>
    <w:p>
      <w:pPr>
        <w:pageBreakBefore/>
      </w:pPr>
      <w:r>
        <w:t xml:space="preserve"/>
      </w:r>
    </w:p>
    <w:p>
      <w:pPr>
        <w:pStyle w:val="Heading1"/>
        <w:spacing w:after="200" w:before="400"/>
      </w:pPr>
      <w:r>
        <w:rPr>
          <w:rFonts w:ascii="Arial" w:cs="Arial" w:eastAsia="Arial" w:hAnsi="Arial"/>
        </w:rPr>
        <w:t xml:space="preserve">2. Flujo del proceso</w:t>
      </w:r>
    </w:p>
    <w:p>
      <w:pPr>
        <w:spacing w:after="160" w:before="0"/>
      </w:pPr>
      <w:r>
        <w:rPr>
          <w:rFonts w:ascii="Arial" w:cs="Arial" w:eastAsia="Arial" w:hAnsi="Arial"/>
          <w:b w:val="false"/>
          <w:bCs w:val="false"/>
          <w:i w:val="false"/>
          <w:iCs w:val="false"/>
          <w:sz w:val="22"/>
          <w:szCs w:val="22"/>
        </w:rPr>
        <w:t xml:space="preserve">Ruta pública: /en/wizard. Cualquier botón “Acreditarme” o “Importar” del sitio (menú, portada, portal) apunta ahí.</w:t>
      </w:r>
    </w:p>
    <w:p>
      <w:pPr>
        <w:pStyle w:val="Heading2"/>
        <w:spacing w:after="160" w:before="300"/>
      </w:pPr>
      <w:r>
        <w:rPr>
          <w:rFonts w:ascii="Arial" w:cs="Arial" w:eastAsia="Arial" w:hAnsi="Arial"/>
        </w:rPr>
        <w:t xml:space="preserve">2.1 Entrada de un usuario sin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tblHeader/>
        </w:trPr>
        <w:tc>
          <w:tcPr>
            <w:tcW w:type="dxa" w:w="7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Paso</w:t>
            </w:r>
          </w:p>
        </w:tc>
        <w:tc>
          <w:tcPr>
            <w:tcW w:type="dxa" w:w="67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Qué hace el usuario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1</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Visitante anónimo</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Hace clic en “Acreditarme” o “Importar”</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2</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Redirección</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 sistema lo manda a iniciar sesión, conservando a dónde iba</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3</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Inicia sesión o se registra</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 registro conserva el mismo destino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4</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Entra al asistente</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Aterriza directo en el paso “Rol”, no en “Mi cuenta”</w:t>
            </w:r>
          </w:p>
        </w:tc>
      </w:tr>
    </w:tbl>
    <w:p>
      <w:pPr>
        <w:pStyle w:val="Heading2"/>
        <w:spacing w:after="160" w:before="300"/>
      </w:pPr>
      <w:r>
        <w:rPr>
          <w:rFonts w:ascii="Arial" w:cs="Arial" w:eastAsia="Arial" w:hAnsi="Arial"/>
        </w:rPr>
        <w:t xml:space="preserve">2.2 Camino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tblHeader/>
        </w:trPr>
        <w:tc>
          <w:tcPr>
            <w:tcW w:type="dxa" w:w="7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Paso</w:t>
            </w:r>
          </w:p>
        </w:tc>
        <w:tc>
          <w:tcPr>
            <w:tcW w:type="dxa" w:w="67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Qué hace el usuario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1</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Rol</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Elige “Cliente”</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2</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Mis datos</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Tipo de empresa (Pymes / Estatal / CNA / Sucursal) + documentos según el tipo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3</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Solicitud</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Producto(s), cantidad, forma de pago y presupuesto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4</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Proveedor</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Elige: Ya tengo uno / Buscar en catálogo / Que me coticen</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5</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Documentos del embarque</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Opcional — solo aparece según lo elegido en el paso anterior</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6</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Resumen</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Revisa todo y pulsa Enviar</w:t>
            </w:r>
          </w:p>
        </w:tc>
      </w:tr>
    </w:tbl>
    <w:p>
      <w:pPr>
        <w:pStyle w:val="Heading2"/>
        <w:spacing w:after="160" w:before="300"/>
      </w:pPr>
      <w:r>
        <w:rPr>
          <w:rFonts w:ascii="Arial" w:cs="Arial" w:eastAsia="Arial" w:hAnsi="Arial"/>
        </w:rPr>
        <w:t xml:space="preserve">2.3 Camino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tblHeader/>
        </w:trPr>
        <w:tc>
          <w:tcPr>
            <w:tcW w:type="dxa" w:w="7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Paso</w:t>
            </w:r>
          </w:p>
        </w:tc>
        <w:tc>
          <w:tcPr>
            <w:tcW w:type="dxa" w:w="67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Qué hace el usuario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1</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Rol</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Elige “Proveedor”</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2</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Mis datos</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Empresa extranjera + 5 documentos obligatorios</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3</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Oferta</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Producto(s), envase, cantidad, precio, flete, seguro y total</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4</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Clientes</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Elige: Ya tengo clientes / Sumar nuevos / Difundir mi oferta</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5</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Resumen</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Revisa todo y pulsa Enviar</w:t>
            </w:r>
          </w:p>
        </w:tc>
      </w:tr>
    </w:tbl>
    <w:p>
      <w:pPr>
        <w:pStyle w:val="Heading2"/>
        <w:spacing w:after="160" w:before="300"/>
      </w:pPr>
      <w:r>
        <w:rPr>
          <w:rFonts w:ascii="Arial" w:cs="Arial" w:eastAsia="Arial" w:hAnsi="Arial"/>
        </w:rPr>
        <w:t xml:space="preserve">2.4 Usuario ya acreditado que vuelve</w:t>
      </w:r>
    </w:p>
    <w:p>
      <w:pPr>
        <w:spacing w:after="160" w:before="0"/>
      </w:pPr>
      <w:r>
        <w:rPr>
          <w:rFonts w:ascii="Arial" w:cs="Arial" w:eastAsia="Arial" w:hAnsi="Arial"/>
          <w:b/>
          <w:bCs/>
          <w:i w:val="false"/>
          <w:iCs w:val="false"/>
          <w:sz w:val="22"/>
          <w:szCs w:val="22"/>
        </w:rPr>
        <w:t xml:space="preserve">Sin “Importar” (clic en “Acreditarme”): </w:t>
      </w:r>
      <w:r>
        <w:rPr>
          <w:rFonts w:ascii="Arial" w:cs="Arial" w:eastAsia="Arial" w:hAnsi="Arial"/>
          <w:b w:val="false"/>
          <w:bCs w:val="false"/>
          <w:i w:val="false"/>
          <w:iCs w:val="false"/>
          <w:sz w:val="22"/>
          <w:szCs w:val="22"/>
        </w:rPr>
        <w:t xml:space="preserve">cualquier rol con una oportunidad activa es enviado directo a su página de seguimiento, sin pasar por el asistente.</w:t>
      </w:r>
    </w:p>
    <w:p>
      <w:pPr>
        <w:spacing w:after="160" w:before="0"/>
      </w:pPr>
      <w:r>
        <w:rPr>
          <w:rFonts w:ascii="Arial" w:cs="Arial" w:eastAsia="Arial" w:hAnsi="Arial"/>
          <w:b/>
          <w:bCs/>
          <w:i w:val="false"/>
          <w:iCs w:val="false"/>
          <w:sz w:val="22"/>
          <w:szCs w:val="22"/>
        </w:rPr>
        <w:t xml:space="preserve">Con “Importar”: </w:t>
      </w:r>
      <w:r>
        <w:rPr>
          <w:rFonts w:ascii="Arial" w:cs="Arial" w:eastAsia="Arial" w:hAnsi="Arial"/>
          <w:b w:val="false"/>
          <w:bCs w:val="false"/>
          <w:i w:val="false"/>
          <w:iCs w:val="false"/>
          <w:sz w:val="22"/>
          <w:szCs w:val="22"/>
        </w:rPr>
        <w:t xml:space="preserve">el Cliente arranca directo en “Solicitud”; el Proveedor arranca directo en “Oferta”. Ninguno repite Rol ni Mis datos.</w:t>
      </w:r>
    </w:p>
    <w:p>
      <w:pPr>
        <w:pStyle w:val="Heading2"/>
        <w:spacing w:after="160" w:before="300"/>
      </w:pPr>
      <w:r>
        <w:rPr>
          <w:rFonts w:ascii="Arial" w:cs="Arial" w:eastAsia="Arial" w:hAnsi="Arial"/>
        </w:rPr>
        <w:t xml:space="preserve">2.5 Qué pasa después de enviar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760"/>
      </w:tblGrid>
      <w:tr>
        <w:trPr>
          <w:tblHeader/>
        </w:trPr>
        <w:tc>
          <w:tcPr>
            <w:tcW w:type="dxa" w:w="7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Paso</w:t>
            </w:r>
          </w:p>
        </w:tc>
        <w:tc>
          <w:tcPr>
            <w:tcW w:type="dxa" w:w="67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Qué hace el usuario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1</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Enviar</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Se crea la oportunidad en el CRM</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2</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Revisión legal</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 abogado revisa los documentos por NIT y acredita cada empresa por separado</w:t>
            </w:r>
          </w:p>
        </w:tc>
      </w:tr>
      <w:tr>
        <w:tc>
          <w:tcPr>
            <w:tcW w:type="dxa" w:w="7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3</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Solicitudes para atender</w:t>
            </w:r>
          </w:p>
        </w:tc>
        <w:tc>
          <w:tcPr>
            <w:tcW w:type="dxa" w:w="67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La operación se libera para el equipo comercial</w:t>
            </w:r>
          </w:p>
        </w:tc>
      </w:tr>
    </w:tbl>
    <w:p>
      <w:pPr>
        <w:spacing w:after="160" w:before="0"/>
      </w:pPr>
      <w:r>
        <w:rPr>
          <w:rFonts w:ascii="Arial" w:cs="Arial" w:eastAsia="Arial" w:hAnsi="Arial"/>
          <w:b/>
          <w:bCs/>
          <w:i w:val="false"/>
          <w:iCs w:val="false"/>
          <w:color w:val="A8650C"/>
          <w:sz w:val="22"/>
          <w:szCs w:val="22"/>
        </w:rPr>
        <w:t xml:space="preserve">Regla del gate: </w:t>
      </w:r>
      <w:r>
        <w:rPr>
          <w:rFonts w:ascii="Arial" w:cs="Arial" w:eastAsia="Arial" w:hAnsi="Arial"/>
          <w:b w:val="false"/>
          <w:bCs w:val="false"/>
          <w:i w:val="false"/>
          <w:iCs w:val="false"/>
          <w:sz w:val="22"/>
          <w:szCs w:val="22"/>
        </w:rPr>
        <w:t xml:space="preserve">la operación queda en “Pendiente de acreditación” hasta que Cliente Y Proveedor estén AMBOS acreditados. Se puede acreditar a una parte primero — la solicitud sigue existiendo, solo espera a la otra.</w:t>
      </w:r>
    </w:p>
    <w:p>
      <w:pPr>
        <w:pageBreakBefore/>
      </w:pPr>
      <w:r>
        <w:t xml:space="preserve"/>
      </w:r>
    </w:p>
    <w:p>
      <w:pPr>
        <w:pStyle w:val="Heading1"/>
        <w:spacing w:after="200" w:before="400"/>
      </w:pPr>
      <w:r>
        <w:rPr>
          <w:rFonts w:ascii="Arial" w:cs="Arial" w:eastAsia="Arial" w:hAnsi="Arial"/>
        </w:rPr>
        <w:t xml:space="preserve">3. Matriz de partición de equivalencia</w:t>
      </w:r>
    </w:p>
    <w:p>
      <w:pPr>
        <w:spacing w:after="160" w:before="0"/>
      </w:pPr>
      <w:r>
        <w:rPr>
          <w:rFonts w:ascii="Arial" w:cs="Arial" w:eastAsia="Arial" w:hAnsi="Arial"/>
          <w:b w:val="false"/>
          <w:bCs w:val="false"/>
          <w:i w:val="false"/>
          <w:iCs w:val="false"/>
          <w:sz w:val="22"/>
          <w:szCs w:val="22"/>
        </w:rPr>
        <w:t xml:space="preserve">Cada decisión del asistente dividida en su clase válida y su clase inválida, con un caso de prueba representativo por partición (no hace falta probar cada valor posible, basta uno por clase).</w:t>
      </w:r>
    </w:p>
    <w:p>
      <w:pPr>
        <w:spacing w:after="160" w:before="0"/>
      </w:pPr>
      <w:r>
        <w:rPr>
          <w:rFonts w:ascii="Arial" w:cs="Arial" w:eastAsia="Arial" w:hAnsi="Arial"/>
          <w:b/>
          <w:bCs/>
          <w:i w:val="false"/>
          <w:iCs w:val="false"/>
          <w:color w:val="1B7A43"/>
          <w:sz w:val="20"/>
          <w:szCs w:val="20"/>
        </w:rPr>
        <w:t xml:space="preserve">ARREGLADO / OK</w:t>
      </w:r>
      <w:r>
        <w:rPr>
          <w:rFonts w:ascii="Arial" w:cs="Arial" w:eastAsia="Arial" w:hAnsi="Arial"/>
          <w:b w:val="false"/>
          <w:bCs w:val="false"/>
          <w:i w:val="false"/>
          <w:iCs w:val="false"/>
          <w:sz w:val="20"/>
          <w:szCs w:val="20"/>
        </w:rPr>
        <w:t xml:space="preserve"> = funciona o ya se corrigió y se verificó   ·   </w:t>
      </w:r>
      <w:r>
        <w:rPr>
          <w:rFonts w:ascii="Arial" w:cs="Arial" w:eastAsia="Arial" w:hAnsi="Arial"/>
          <w:b/>
          <w:bCs/>
          <w:i w:val="false"/>
          <w:iCs w:val="false"/>
          <w:color w:val="B3261E"/>
          <w:sz w:val="20"/>
          <w:szCs w:val="20"/>
        </w:rPr>
        <w:t xml:space="preserve">BUG</w:t>
      </w:r>
      <w:r>
        <w:rPr>
          <w:rFonts w:ascii="Arial" w:cs="Arial" w:eastAsia="Arial" w:hAnsi="Arial"/>
          <w:b w:val="false"/>
          <w:bCs w:val="false"/>
          <w:i w:val="false"/>
          <w:iCs w:val="false"/>
          <w:sz w:val="20"/>
          <w:szCs w:val="20"/>
        </w:rPr>
        <w:t xml:space="preserve"> = confirmado, no bloquea   ·   </w:t>
      </w:r>
      <w:r>
        <w:rPr>
          <w:rFonts w:ascii="Arial" w:cs="Arial" w:eastAsia="Arial" w:hAnsi="Arial"/>
          <w:b/>
          <w:bCs/>
          <w:i w:val="false"/>
          <w:iCs w:val="false"/>
          <w:color w:val="A8650C"/>
          <w:sz w:val="20"/>
          <w:szCs w:val="20"/>
        </w:rPr>
        <w:t xml:space="preserve">revisar en vivo</w:t>
      </w:r>
      <w:r>
        <w:rPr>
          <w:rFonts w:ascii="Arial" w:cs="Arial" w:eastAsia="Arial" w:hAnsi="Arial"/>
          <w:b w:val="false"/>
          <w:bCs w:val="false"/>
          <w:i w:val="false"/>
          <w:iCs w:val="false"/>
          <w:sz w:val="20"/>
          <w:szCs w:val="20"/>
        </w:rPr>
        <w:t xml:space="preserve"> = pendiente de confirmar con una prueba manual en el navegador</w:t>
      </w:r>
    </w:p>
    <w:p>
      <w:pPr>
        <w:pStyle w:val="Heading2"/>
        <w:spacing w:after="160" w:before="300"/>
      </w:pPr>
      <w:r>
        <w:rPr>
          <w:rFonts w:ascii="Arial" w:cs="Arial" w:eastAsia="Arial" w:hAnsi="Arial"/>
        </w:rPr>
        <w:t xml:space="preserve">3.1 Entrada y 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Elegir Rol</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Cliente o Proveedor marcado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Ningún rol marcado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Pulsar Siguiente sin elegir tarjeta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Botón bloqueado</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Entrada con sesión de importación, Cliente</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Rol=cliente + oportunidad activa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Cliente acreditado entra por “Importar”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Arranca en Solicitud</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Entrada con sesión de importación, Proveedor</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Rol=proveedor + oportunidad activa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Proveedor acreditado entra por “Importar”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Arranca en Oferta</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 — revisar en vivo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Entrada sin “Importar”, con oportunidad activa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Cualquier rol, oportunidad activa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Clic en “Acreditarme” ya acreditado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Redirige a seguimiento</w:t>
            </w:r>
          </w:p>
        </w:tc>
        <w:tc>
          <w:tcPr>
            <w:tcW w:type="dxa" w:w="1060"/>
            <w:tcBorders>
              <w:top w:val="single" w:color="CCD3DD" w:sz="2"/>
              <w:left w:val="single" w:color="CCD3DD" w:sz="2"/>
              <w:bottom w:val="single" w:color="CCD3DD" w:sz="2"/>
              <w:right w:val="single" w:color="CCD3DD" w:sz="2"/>
            </w:tcBorders>
            <w:shd w:fill="FFF4E0" w:val="clear"/>
            <w:tcMar>
              <w:top w:type="dxa" w:w="80"/>
              <w:left w:type="dxa" w:w="110"/>
              <w:bottom w:type="dxa" w:w="80"/>
              <w:right w:type="dxa" w:w="110"/>
            </w:tcMar>
            <w:vAlign w:val="center"/>
          </w:tcPr>
          <w:p>
            <w:r>
              <w:rPr>
                <w:rFonts w:ascii="Arial" w:cs="Arial" w:eastAsia="Arial" w:hAnsi="Arial"/>
                <w:b w:val="false"/>
                <w:bCs w:val="false"/>
                <w:color w:val="A8650C"/>
                <w:sz w:val="19"/>
                <w:szCs w:val="19"/>
              </w:rPr>
              <w:t xml:space="preserve">revisar en vivo (causa raíz pendiente)</w:t>
            </w:r>
          </w:p>
        </w:tc>
      </w:tr>
    </w:tbl>
    <w:p>
      <w:pPr>
        <w:pStyle w:val="Heading2"/>
        <w:spacing w:after="160" w:before="300"/>
      </w:pPr>
      <w:r>
        <w:rPr>
          <w:rFonts w:ascii="Arial" w:cs="Arial" w:eastAsia="Arial" w:hAnsi="Arial"/>
        </w:rPr>
        <w:t xml:space="preserve">3.2 Mis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Tipo de cliente</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Elegido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Sin elegir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Avanzar sin tipo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bloquea (intencional)</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Nombre de la empresa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vacío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Vacío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Avanzar en blanco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NIT — formato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Vacío, o 11 dígitos</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Longitud≠ 11 o no numérico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Escribir “123ABC”</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NIT — duplicado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usado por otra empresa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Ya existe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NIT de empresa acreditada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 o advertir</w:t>
            </w:r>
          </w:p>
        </w:tc>
        <w:tc>
          <w:tcPr>
            <w:tcW w:type="dxa" w:w="10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Solo aviso, no bloquea</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Documentos obligatorios</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Todos subidos</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Faltan</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Avanzar sin subir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bloquea (intencional)</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Documento rechazado por IA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Ninguno rechazado presente</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Hay uno sin reemplazar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Subir, esperar “rechazado”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bl>
    <w:p>
      <w:pPr>
        <w:pStyle w:val="Heading2"/>
        <w:spacing w:after="160" w:before="300"/>
      </w:pPr>
      <w:r>
        <w:rPr>
          <w:rFonts w:ascii="Arial" w:cs="Arial" w:eastAsia="Arial" w:hAnsi="Arial"/>
        </w:rPr>
        <w:t xml:space="preserve">3.3 Solicitud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Producto de la línea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Producto real seleccionado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Elegir del desplegable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Coincide con el producto real</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Cantidad por línea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Mayor que 0</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0 o vacía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Dejar en blanco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Forma de pago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Seleccionada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Vacía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elegir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Presupuesto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Mayor que 0</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Cero o vacío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Dejar vacío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Botón “Omitir” visible</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Solo si NO es reingreso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 modo reingreso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Entrar ya acreditado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debería aparecer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bl>
    <w:p>
      <w:pPr>
        <w:pStyle w:val="Heading2"/>
        <w:spacing w:after="160" w:before="300"/>
      </w:pPr>
      <w:r>
        <w:rPr>
          <w:rFonts w:ascii="Arial" w:cs="Arial" w:eastAsia="Arial" w:hAnsi="Arial"/>
        </w:rPr>
        <w:t xml:space="preserve">3.4 Proveedor (paso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Elección de vía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Una de las 3 opciones</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Ninguna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Avanzar sin elegir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“Ya tengo” → cartera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Proveedor marcado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Ninguno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marcar y avanzar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FFF4E0" w:val="clear"/>
            <w:tcMar>
              <w:top w:type="dxa" w:w="80"/>
              <w:left w:type="dxa" w:w="110"/>
              <w:bottom w:type="dxa" w:w="80"/>
              <w:right w:type="dxa" w:w="110"/>
            </w:tcMar>
            <w:vAlign w:val="center"/>
          </w:tcPr>
          <w:p>
            <w:r>
              <w:rPr>
                <w:rFonts w:ascii="Arial" w:cs="Arial" w:eastAsia="Arial" w:hAnsi="Arial"/>
                <w:b w:val="false"/>
                <w:bCs w:val="false"/>
                <w:color w:val="A8650C"/>
                <w:sz w:val="19"/>
                <w:szCs w:val="19"/>
              </w:rPr>
              <w:t xml:space="preserve">revisar en vivo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“Buscar en catálogo”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Oferta seleccionada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Ninguna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elegir y avanzar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FFF4E0" w:val="clear"/>
            <w:tcMar>
              <w:top w:type="dxa" w:w="80"/>
              <w:left w:type="dxa" w:w="110"/>
              <w:bottom w:type="dxa" w:w="80"/>
              <w:right w:type="dxa" w:w="110"/>
            </w:tcMar>
            <w:vAlign w:val="center"/>
          </w:tcPr>
          <w:p>
            <w:r>
              <w:rPr>
                <w:rFonts w:ascii="Arial" w:cs="Arial" w:eastAsia="Arial" w:hAnsi="Arial"/>
                <w:b w:val="false"/>
                <w:bCs w:val="false"/>
                <w:color w:val="A8650C"/>
                <w:sz w:val="19"/>
                <w:szCs w:val="19"/>
              </w:rPr>
              <w:t xml:space="preserve">revisar en vivo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Envío con “cotiza” o sin vía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Crea proceso con proveedor “por designar”</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Completar y enviar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Proceso visible y en gate</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bl>
    <w:p>
      <w:pPr>
        <w:pStyle w:val="Heading2"/>
        <w:spacing w:after="160" w:before="300"/>
      </w:pPr>
      <w:r>
        <w:rPr>
          <w:rFonts w:ascii="Arial" w:cs="Arial" w:eastAsia="Arial" w:hAnsi="Arial"/>
        </w:rPr>
        <w:t xml:space="preserve">3.5 Oferta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Producto de la línea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Producto real seleccionado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Elegir del desplegable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Coincide con el producto real</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Líneas de producto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Al menos 1, con cantidad y precio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0 líneas, o en 0</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agregar y avanzar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bl>
    <w:p>
      <w:pPr>
        <w:pStyle w:val="Heading2"/>
        <w:spacing w:after="160" w:before="300"/>
      </w:pPr>
      <w:r>
        <w:rPr>
          <w:rFonts w:ascii="Arial" w:cs="Arial" w:eastAsia="Arial" w:hAnsi="Arial"/>
        </w:rPr>
        <w:t xml:space="preserve">3.6 Clientes (paso proveedor)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Elección de vía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Una de las 3 opciones</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Ninguna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Avanzar sin elegir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“Ya tengo clientes”</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Al menos 1 marcado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Ninguno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marcar y avanzar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FFF4E0" w:val="clear"/>
            <w:tcMar>
              <w:top w:type="dxa" w:w="80"/>
              <w:left w:type="dxa" w:w="110"/>
              <w:bottom w:type="dxa" w:w="80"/>
              <w:right w:type="dxa" w:w="110"/>
            </w:tcMar>
            <w:vAlign w:val="center"/>
          </w:tcPr>
          <w:p>
            <w:r>
              <w:rPr>
                <w:rFonts w:ascii="Arial" w:cs="Arial" w:eastAsia="Arial" w:hAnsi="Arial"/>
                <w:b w:val="false"/>
                <w:bCs w:val="false"/>
                <w:color w:val="A8650C"/>
                <w:sz w:val="19"/>
                <w:szCs w:val="19"/>
              </w:rPr>
              <w:t xml:space="preserve">revisar en vivo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“Difundir oferta”</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Al menos 1 marcado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Ninguno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No marcar y avanzar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Bloquear</w:t>
            </w:r>
          </w:p>
        </w:tc>
        <w:tc>
          <w:tcPr>
            <w:tcW w:type="dxa" w:w="1060"/>
            <w:tcBorders>
              <w:top w:val="single" w:color="CCD3DD" w:sz="2"/>
              <w:left w:val="single" w:color="CCD3DD" w:sz="2"/>
              <w:bottom w:val="single" w:color="CCD3DD" w:sz="2"/>
              <w:right w:val="single" w:color="CCD3DD" w:sz="2"/>
            </w:tcBorders>
            <w:shd w:fill="FFF4E0" w:val="clear"/>
            <w:tcMar>
              <w:top w:type="dxa" w:w="80"/>
              <w:left w:type="dxa" w:w="110"/>
              <w:bottom w:type="dxa" w:w="80"/>
              <w:right w:type="dxa" w:w="110"/>
            </w:tcMar>
            <w:vAlign w:val="center"/>
          </w:tcPr>
          <w:p>
            <w:r>
              <w:rPr>
                <w:rFonts w:ascii="Arial" w:cs="Arial" w:eastAsia="Arial" w:hAnsi="Arial"/>
                <w:b w:val="false"/>
                <w:bCs w:val="false"/>
                <w:color w:val="A8650C"/>
                <w:sz w:val="19"/>
                <w:szCs w:val="19"/>
              </w:rPr>
              <w:t xml:space="preserve">revisar en vivo</w:t>
            </w:r>
          </w:p>
        </w:tc>
      </w:tr>
    </w:tbl>
    <w:p>
      <w:pPr>
        <w:pStyle w:val="Heading2"/>
        <w:spacing w:after="160" w:before="300"/>
      </w:pPr>
      <w:r>
        <w:rPr>
          <w:rFonts w:ascii="Arial" w:cs="Arial" w:eastAsia="Arial" w:hAnsi="Arial"/>
        </w:rPr>
        <w:t xml:space="preserve">3.7 Documentos del embarque (opcional)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Visibilidad del paso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Aparece según la regla de negocio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Fuera de esa regla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Probar las 5 combinaciones del paso Proveedor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Coincide siempre con la regla</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 confirmar en vivo</w:t>
            </w:r>
          </w:p>
        </w:tc>
      </w:tr>
    </w:tbl>
    <w:p>
      <w:pPr>
        <w:pStyle w:val="Heading2"/>
        <w:spacing w:after="160" w:before="300"/>
      </w:pPr>
      <w:r>
        <w:rPr>
          <w:rFonts w:ascii="Arial" w:cs="Arial" w:eastAsia="Arial" w:hAnsi="Arial"/>
        </w:rPr>
        <w:t xml:space="preserve">3.8 Envío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900"/>
        <w:gridCol w:w="1900"/>
        <w:gridCol w:w="1060"/>
      </w:tblGrid>
      <w:tr>
        <w:trPr>
          <w:tblHeader/>
        </w:trPr>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Decisión</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válida</w:t>
            </w:r>
          </w:p>
        </w:tc>
        <w:tc>
          <w:tcPr>
            <w:tcW w:type="dxa" w:w="15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Clase inválida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Caso de prueba</w:t>
            </w:r>
          </w:p>
        </w:tc>
        <w:tc>
          <w:tcPr>
            <w:tcW w:type="dxa" w:w="190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Resultado esperado</w:t>
            </w:r>
          </w:p>
        </w:tc>
        <w:tc>
          <w:tcPr>
            <w:tcW w:type="dxa" w:w="1060"/>
            <w:tcBorders>
              <w:top w:val="single" w:color="CCD3DD" w:sz="2"/>
              <w:left w:val="single" w:color="CCD3DD" w:sz="2"/>
              <w:bottom w:val="single" w:color="CCD3DD" w:sz="2"/>
              <w:right w:val="single" w:color="CCD3DD" w:sz="2"/>
            </w:tcBorders>
            <w:shd w:fill="1A2E4A" w:val="clear"/>
            <w:tcMar>
              <w:top w:type="dxa" w:w="80"/>
              <w:left w:type="dxa" w:w="110"/>
              <w:bottom w:type="dxa" w:w="80"/>
              <w:right w:type="dxa" w:w="110"/>
            </w:tcMar>
            <w:vAlign w:val="center"/>
          </w:tcPr>
          <w:p>
            <w:r>
              <w:rPr>
                <w:rFonts w:ascii="Arial" w:cs="Arial" w:eastAsia="Arial" w:hAnsi="Arial"/>
                <w:b/>
                <w:bCs/>
                <w:color w:val="FFFFFF"/>
                <w:sz w:val="19"/>
                <w:szCs w:val="19"/>
              </w:rPr>
              <w:t xml:space="preserve">Estado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Con proveedor resuelto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Crea proceso completo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Elegir proveedor real y enviar</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Proceso visible en operaciones</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OK</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Sin proveedor resuelto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Crea proceso con proveedor “por designar”</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Enviar con “cotiza” o sin vía</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Proceso rastreable, en gate</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Puerto tras crear el proceso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Calculado desde el inicio</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Vacío hasta reseleccionar país</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Crear proceso, abrirlo en el back</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Puerto con opciones ya cargadas</w:t>
            </w:r>
          </w:p>
        </w:tc>
        <w:tc>
          <w:tcPr>
            <w:tcW w:type="dxa" w:w="1060"/>
            <w:tcBorders>
              <w:top w:val="single" w:color="CCD3DD" w:sz="2"/>
              <w:left w:val="single" w:color="CCD3DD" w:sz="2"/>
              <w:bottom w:val="single" w:color="CCD3DD" w:sz="2"/>
              <w:right w:val="single" w:color="CCD3DD" w:sz="2"/>
            </w:tcBorders>
            <w:shd w:fill="E7F5EC" w:val="clear"/>
            <w:tcMar>
              <w:top w:type="dxa" w:w="80"/>
              <w:left w:type="dxa" w:w="110"/>
              <w:bottom w:type="dxa" w:w="80"/>
              <w:right w:type="dxa" w:w="110"/>
            </w:tcMar>
            <w:vAlign w:val="center"/>
          </w:tcPr>
          <w:p>
            <w:r>
              <w:rPr>
                <w:rFonts w:ascii="Arial" w:cs="Arial" w:eastAsia="Arial" w:hAnsi="Arial"/>
                <w:b w:val="false"/>
                <w:bCs w:val="false"/>
                <w:color w:val="1B7A43"/>
                <w:sz w:val="19"/>
                <w:szCs w:val="19"/>
              </w:rPr>
              <w:t xml:space="preserve">ARREGLADO</w:t>
            </w:r>
          </w:p>
        </w:tc>
      </w:tr>
      <w:tr>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Mensaje de confirmación</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Coincide con el tipo real de solicitud</w:t>
            </w:r>
          </w:p>
        </w:tc>
        <w:tc>
          <w:tcPr>
            <w:tcW w:type="dxa" w:w="15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Texto cruzado (acreditación↔importación)</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Reingresar dos veces ya acreditado</w:t>
            </w:r>
          </w:p>
        </w:tc>
        <w:tc>
          <w:tcPr>
            <w:tcW w:type="dxa" w:w="190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Siempre coincide</w:t>
            </w:r>
          </w:p>
        </w:tc>
        <w:tc>
          <w:tcPr>
            <w:tcW w:type="dxa" w:w="1060"/>
            <w:tcBorders>
              <w:top w:val="single" w:color="CCD3DD" w:sz="2"/>
              <w:left w:val="single" w:color="CCD3DD" w:sz="2"/>
              <w:bottom w:val="single" w:color="CCD3DD" w:sz="2"/>
              <w:right w:val="single" w:color="CCD3DD" w:sz="2"/>
            </w:tcBorders>
            <w:tcMar>
              <w:top w:type="dxa" w:w="80"/>
              <w:left w:type="dxa" w:w="110"/>
              <w:bottom w:type="dxa" w:w="80"/>
              <w:right w:type="dxa" w:w="110"/>
            </w:tcMar>
            <w:vAlign w:val="center"/>
          </w:tcPr>
          <w:p>
            <w:r>
              <w:rPr>
                <w:rFonts w:ascii="Arial" w:cs="Arial" w:eastAsia="Arial" w:hAnsi="Arial"/>
                <w:b w:val="false"/>
                <w:bCs w:val="false"/>
                <w:color w:val="1A2E4A"/>
                <w:sz w:val="19"/>
                <w:szCs w:val="19"/>
              </w:rPr>
              <w:t xml:space="preserve">Mejorado; causa raíz de fondo aún pendiente</w:t>
            </w:r>
          </w:p>
        </w:tc>
      </w:tr>
    </w:tbl>
    <w:p>
      <w:pPr>
        <w:pageBreakBefore/>
      </w:pPr>
      <w:r>
        <w:t xml:space="preserve"/>
      </w:r>
    </w:p>
    <w:p>
      <w:pPr>
        <w:pStyle w:val="Heading1"/>
        <w:spacing w:after="200" w:before="400"/>
      </w:pPr>
      <w:r>
        <w:rPr>
          <w:rFonts w:ascii="Arial" w:cs="Arial" w:eastAsia="Arial" w:hAnsi="Arial"/>
        </w:rPr>
        <w:t xml:space="preserve">4. Checklist de incidencias resueltas en esta sesión</w:t>
      </w:r>
    </w:p>
    <w:p>
      <w:pPr>
        <w:spacing w:after="160" w:before="0"/>
      </w:pPr>
      <w:r>
        <w:rPr>
          <w:rFonts w:ascii="Arial" w:cs="Arial" w:eastAsia="Arial" w:hAnsi="Arial"/>
          <w:b w:val="false"/>
          <w:bCs w:val="false"/>
          <w:i w:val="false"/>
          <w:iCs w:val="false"/>
          <w:sz w:val="22"/>
          <w:szCs w:val="22"/>
        </w:rPr>
        <w:t xml:space="preserve">Proceso de acreditación / importación (/en/wizard) y su backend (CRM, expediente de documentos). Verificado tanto en el entorno local como en el servidor real (192.168.1.247), este último por consulta directa a la base de datos — sin modificar nada fuera de los registros de prueba marcados.</w:t>
      </w:r>
    </w:p>
    <w:p>
      <w:pPr>
        <w:pStyle w:val="Heading2"/>
        <w:spacing w:after="160" w:before="300"/>
      </w:pPr>
      <w:r>
        <w:rPr>
          <w:rFonts w:ascii="Arial" w:cs="Arial" w:eastAsia="Arial" w:hAnsi="Arial"/>
        </w:rPr>
        <w:t xml:space="preserve">4.1 Wizard público — cliente y proveedor</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El botón “Omitir → Solo quiero acreditarme” ya no aparece cuando un cliente ya acreditado reingresa a pedir una importación.</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El proveedor ya acreditado ahora también tiene un atajo directo — arranca en “Oferta” sin repetir Rol ni Mis datos (antes solo el cliente lo tenía).</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Las solicitudes sin proveedor elegido, o hechas con “Que me coticen”, ya no se pierden en silencio — quedan registradas con un proveedor “por designar” y son rastreables en el sistema.</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Se agregó un mensaje informativo: para ser visible en el catálogo público, el proveedor también necesita tener al menos una oferta publicada.</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El asistente ahora bloquea “Siguiente” si falta: cantidad del producto, nombre de la empresa, forma de pago y presupuesto, elegir una vía de proveedor/clientes, o al menos una línea de oferta.</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Los desplegables de producto (Solicitud y Oferta) muestran los combustibles reales de la base de datos — antes el Diésel y otros productos no aparecían en las líneas por un desajuste de nombre/idioma.</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Los puertos del país de origen se calculan automáticamente al crear el proceso — antes había que reabrirlo y volver a elegir el país para que cargaran.</w:t>
      </w:r>
    </w:p>
    <w:p>
      <w:pPr>
        <w:pStyle w:val="Heading2"/>
        <w:spacing w:after="160" w:before="300"/>
      </w:pPr>
      <w:r>
        <w:rPr>
          <w:rFonts w:ascii="Arial" w:cs="Arial" w:eastAsia="Arial" w:hAnsi="Arial"/>
        </w:rPr>
        <w:t xml:space="preserve">4.2 Backend — acreditación de contactos (verificado en el servidor real, 192.168.1.247)</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Al crear un cliente o proveedor nuevo, el “Tipo de Contacto” queda asignado automáticamente — probado creando un cliente y un proveedor de prueba: ambos quedaron con su tipo correcto (antes quedaba vacío y bloqueaba la aprobación en cartera).</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El código MINCEX del proveedor se guarda correctamente — confirmado en el proveedor de prueba (antes se perdía).</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La búsqueda de contacto existente ahora es por NIT (si es cliente) o por código MINCEX (si es proveedor) — probado creando el mismo NIT y el mismo MINCEX dos veces cada uno: en ningún caso se duplicó el contacto.</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Un proveedor sin código MINCEX (checkbox “¿Requiere código MINCEX?” sin marcar) se puede crear igual, sin error — probado y confirmado.</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El aviso de NIT inválido (distinto de 11 dígitos) se dispara correctamente — probado directamente: devuelve la advertencia “El NIT debe tener exactamente 11 dígitos numéricos”.</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Aprobar un contacto “en cartera” (mover la etapa de acreditación) ya no falla por falta de Tipo de Contacto — probado moviendo un lead de prueba a la etapa de acreditación: quedó acreditado sin error.</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El error “NewId” al crear/editar una oportunidad antes de guardarla (como pasa en el kanban de CRM) ya no ocurre — probado simulando ese mismo estado (registro aún no guardado): los campos que antes fallaban se calculan sin error.</w:t>
      </w:r>
    </w:p>
    <w:p>
      <w:pPr>
        <w:pStyle w:val="Heading2"/>
        <w:spacing w:after="160" w:before="300"/>
      </w:pPr>
      <w:r>
        <w:rPr>
          <w:rFonts w:ascii="Arial" w:cs="Arial" w:eastAsia="Arial" w:hAnsi="Arial"/>
        </w:rPr>
        <w:t xml:space="preserve">4.3 Oferta del proveedor y expediente de documentos</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El flujo completo de oferta de un proveedor (líneas de producto, flete, seguro, total) se probó de punta a punta en el servidor real — se creó y calculó correctamente.</w:t>
      </w:r>
    </w:p>
    <w:p>
      <w:pPr>
        <w:spacing w:after="130"/>
        <w:ind w:left="200"/>
      </w:pPr>
      <w:r>
        <w:rPr>
          <w:rFonts w:ascii="Arial" w:cs="Arial" w:eastAsia="Arial" w:hAnsi="Arial"/>
          <w:b/>
          <w:bCs/>
          <w:color w:val="1B7A43"/>
          <w:sz w:val="24"/>
          <w:szCs w:val="24"/>
        </w:rPr>
        <w:t xml:space="preserve">☑  </w:t>
      </w:r>
      <w:r>
        <w:rPr>
          <w:rFonts w:ascii="Arial" w:cs="Arial" w:eastAsia="Arial" w:hAnsi="Arial"/>
          <w:sz w:val="22"/>
          <w:szCs w:val="22"/>
        </w:rPr>
        <w:t xml:space="preserve">La columna “Cliente” y el sombreado alterno por Orden de Compra ya aparecen en el expediente de documentos — confirmado con datos reales: los 3 procesos de importación multi-cliente que ya existen en producción (IMP00036, IMP00150, IMP00151) muestran correctamente el cliente de cada bloque.</w:t>
      </w:r>
    </w:p>
    <w:p>
      <w:pPr>
        <w:spacing w:after="130"/>
      </w:pPr>
      <w:r>
        <w:rPr>
          <w:rFonts w:ascii="Arial" w:hAnsi="Arial"/>
          <w:b/>
          <w:color w:val="1B7A43"/>
          <w:sz w:val="24"/>
        </w:rPr>
        <w:t xml:space="preserve">☑  </w:t>
      </w:r>
      <w:r>
        <w:rPr>
          <w:rFonts w:ascii="Arial" w:hAnsi="Arial"/>
          <w:sz w:val="22"/>
        </w:rPr>
        <w:t>El botón “+ Agregar cliente” (paso Clientes del proveedor) ahora sí captura los datos reales del formulario — nombre, NIT, tipo, dirección, contacto y documentos — en vez de guardar solo un nombre genérico (“Nuevo cliente 1”) y descartar todo lo escrito. Probado en el servidor real: cada cliente agregado queda con sus datos correctos y su contacto propio.</w:t>
      </w:r>
    </w:p>
    <w:p>
      <w:pPr>
        <w:spacing w:after="130"/>
      </w:pPr>
      <w:r>
        <w:rPr>
          <w:rFonts w:ascii="Arial" w:hAnsi="Arial"/>
          <w:b/>
          <w:color w:val="1B7A43"/>
          <w:sz w:val="24"/>
        </w:rPr>
        <w:t xml:space="preserve">☑  </w:t>
      </w:r>
      <w:r>
        <w:rPr>
          <w:rFonts w:ascii="Arial" w:hAnsi="Arial"/>
          <w:sz w:val="22"/>
        </w:rPr>
        <w:t>Los clientes agregados en el paso Clientes del proveedor ahora se pueden editar: un clic en el cliente reabre el formulario con sus datos y documentos ya cargados para corregirlos (antes solo se podía eliminar y volver a escribir todo desde cero).</w:t>
      </w:r>
    </w:p>
    <w:p>
      <w:pPr>
        <w:pStyle w:val="Heading2"/>
      </w:pPr>
      <w:r>
        <w:t>4.4 Proveedor multi-cliente, OC en borrador y documentos por bloque (2026-07-14)</w:t>
      </w:r>
    </w:p>
    <w:p>
      <w:pPr/>
      <w:r>
        <w:rPr>
          <w:b/>
          <w:color w:val="1B7A43"/>
          <w:sz w:val="24"/>
        </w:rPr>
        <w:t xml:space="preserve">☑  </w:t>
      </w:r>
      <w:r>
        <w:t>El paso "Clientes" del proveedor ahora tiene 4 opciones: cartera real (antes eran 3 nombres inventados en el codigo), sumar clientes nuevos, "Es consignacion" (mercancia sin cliente final aun) y difundir oferta.</w:t>
      </w:r>
    </w:p>
    <w:p>
      <w:pPr/>
      <w:r>
        <w:rPr>
          <w:b/>
          <w:color w:val="1B7A43"/>
          <w:sz w:val="24"/>
        </w:rPr>
        <w:t xml:space="preserve">☑  </w:t>
      </w:r>
      <w:r>
        <w:t>El boton "Omitir -&gt; Solo quiero acreditarme" ya no aparece cuando un proveedor ya acreditado reingresa a subir una oferta (antes se mostraba sin sentido).</w:t>
      </w:r>
    </w:p>
    <w:p>
      <w:pPr/>
      <w:r>
        <w:rPr>
          <w:b/>
          <w:color w:val="1B7A43"/>
          <w:sz w:val="24"/>
        </w:rPr>
        <w:t xml:space="preserve">☑  </w:t>
      </w:r>
      <w:r>
        <w:t>Aparece un nuevo paso opcional "Documentos del embarque" para el proveedor: certificados que aplican a todo el envio, mas -- por cada cliente agregado -- su numero de BL/AWB y sus propios documentos (oferta firmada, factura comercial, lista de empaque, permisos).</w:t>
      </w:r>
    </w:p>
    <w:p>
      <w:pPr/>
      <w:r>
        <w:rPr>
          <w:b/>
          <w:color w:val="1B7A43"/>
          <w:sz w:val="24"/>
        </w:rPr>
        <w:t xml:space="preserve">☑  </w:t>
      </w:r>
      <w:r>
        <w:t>Al enviar el wizard con clientes reales, ademas de la oferta se crea la importacion completa: un bloque por cliente y una Orden de Compra en borrador por cada uno, ya con el precio real tomado de la oferta (antes se perdia, quedaba en 0.00).</w:t>
      </w:r>
    </w:p>
    <w:p>
      <w:pPr/>
      <w:r>
        <w:rPr>
          <w:b/>
          <w:color w:val="1B7A43"/>
          <w:sz w:val="24"/>
        </w:rPr>
        <w:t xml:space="preserve">☑  </w:t>
      </w:r>
      <w:r>
        <w:t>Si despues un comercial aprueba la solicitud desde el backend, ya no se duplica la Orden de Compra que el proveedor genero desde el wizard -- se reutiliza.</w:t>
      </w:r>
    </w:p>
    <w:p>
      <w:pPr/>
      <w:r>
        <w:rPr>
          <w:b/>
          <w:color w:val="1B7A43"/>
          <w:sz w:val="24"/>
        </w:rPr>
        <w:t xml:space="preserve">☑  </w:t>
      </w:r>
      <w:r>
        <w:t>Los documentos que el proveedor sube por cliente en el paso de embarque se pre-cargan solos en el expediente de esa Orden de Compra.</w:t>
      </w:r>
    </w:p>
    <w:p>
      <w:pPr/>
      <w:r>
        <w:rPr>
          <w:b/>
          <w:color w:val="1B7A43"/>
          <w:sz w:val="24"/>
        </w:rPr>
        <w:t xml:space="preserve">☑  </w:t>
      </w:r>
      <w:r>
        <w:t>Se corrigio que un proveedor pudiera registrar un cliente nuevo con el NIT de un cliente que ya existe y acreditado -- ahora se reutiliza el cliente real en vez de crear un duplicado sin acreditar que dejaba la operacion bloqueada sin explicacion. Se aplico el mismo criterio para "Difundir oferta" y para cuando un cliente registra un proveedor nuevo por su codigo MINCEX.</w:t>
      </w:r>
    </w:p>
    <w:p>
      <w:pPr/>
      <w:r>
        <w:rPr>
          <w:b/>
          <w:color w:val="1B7A43"/>
          <w:sz w:val="24"/>
        </w:rPr>
        <w:t xml:space="preserve">☑  </w:t>
      </w:r>
      <w:r>
        <w:t>El pais de origen elegido en "Documentos del embarque" ahora si se guarda en la operacion (antes se ignoraba y quedaba siempre Cuba por defecto).</w:t>
      </w:r>
    </w:p>
    <w:p>
      <w:pPr/>
      <w:r>
        <w:rPr>
          <w:b/>
          <w:color w:val="1B7A43"/>
          <w:sz w:val="24"/>
        </w:rPr>
        <w:t xml:space="preserve">☑  </w:t>
      </w:r>
      <w:r>
        <w:t>Se corrigio un bug de fondo (no introducido en esta sesion, pero detectado al probar la consignacion): una operacion con un cliente todavia no acreditado podia fallar al crearse con un error confuso. Ahora la operacion simplemente queda "Pendiente de acreditacion" como corresponde, con su Orden de Compra en borrador ya lista para cuando el comercial la revise.</w:t>
      </w:r>
    </w:p>
    <w:p>
      <w:pPr>
        <w:pStyle w:val="Heading2"/>
        <w:spacing w:after="160" w:before="300"/>
      </w:pPr>
      <w:r>
        <w:rPr>
          <w:rFonts w:ascii="Arial" w:cs="Arial" w:eastAsia="Arial" w:hAnsi="Arial"/>
        </w:rPr>
        <w:t>4.5 Pendiente — no marcado como resuelto todavía</w:t>
      </w:r>
    </w:p>
    <w:p>
      <w:pPr>
        <w:pStyle w:val="ListParagraph"/>
        <w:numPr>
          <w:ilvl w:val="0"/>
          <w:numId w:val="1"/>
        </w:numPr>
        <w:spacing w:after="90"/>
      </w:pPr>
      <w:r>
        <w:rPr>
          <w:rFonts w:ascii="Arial" w:cs="Arial" w:eastAsia="Arial" w:hAnsi="Arial"/>
          <w:sz w:val="22"/>
          <w:szCs w:val="22"/>
        </w:rPr>
        <w:t xml:space="preserve">Causa de fondo de por qué, en algunos casos, el atajo de reingreso no se activa en una segunda visita del mismo usuario ya acreditado — es el único punto de esta ronda que sigue sin explicación confirmada.</w:t>
      </w:r>
    </w:p>
    <w:p>
      <w:pPr>
        <w:spacing w:after="160" w:before="0"/>
      </w:pPr>
      <w:r>
        <w:rPr>
          <w:rFonts w:ascii="Arial" w:cs="Arial" w:eastAsia="Arial" w:hAnsi="Arial"/>
          <w:b w:val="false"/>
          <w:bCs w:val="false"/>
          <w:i/>
          <w:iCs/>
          <w:color w:val="5B6B85"/>
          <w:sz w:val="20"/>
          <w:szCs w:val="20"/>
        </w:rPr>
        <w:t xml:space="preserve">Todos los registros de prueba creados durante esta validación (clientes, proveedores, oportunidades y ofertas de prueba) se eliminaron del servidor real al finalizar — no queda ningún dato de prueba en producción.</w:t>
      </w:r>
    </w:p>
    <w:p>
      <w:pPr>
        <w:spacing w:before="400"/>
      </w:pPr>
      <w:r>
        <w:rPr>
          <w:rFonts w:ascii="Arial" w:cs="Arial" w:eastAsia="Arial" w:hAnsi="Arial"/>
          <w:i/>
          <w:iCs/>
          <w:color w:val="5B6B85"/>
          <w:sz w:val="18"/>
          <w:szCs w:val="18"/>
        </w:rPr>
        <w:t xml:space="preserve">Documento generado a partir del análisis técnico completo (archivo de referencia para ingeniería: documentos/analisis_wizard_acreditacion_enetec.md).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B85"/>
        <w:sz w:val="16"/>
        <w:szCs w:val="16"/>
      </w:rPr>
      <w:t xml:space="preserve">Página </w:t>
    </w:r>
    <w:r>
      <w:rPr>
        <w:rFonts w:ascii="Arial" w:cs="Arial" w:eastAsia="Arial" w:hAnsi="Arial"/>
        <w:color w:val="5B6B85"/>
        <w:sz w:val="16"/>
        <w:szCs w:val="16"/>
      </w:rPr>
      <w:fldChar w:fldCharType="begin"/>
      <w:instrText xml:space="preserve">PAGE</w:instrText>
      <w:fldChar w:fldCharType="separate"/>
      <w:fldChar w:fldCharType="end"/>
    </w:r>
    <w:r>
      <w:rPr>
        <w:rFonts w:ascii="Arial" w:cs="Arial" w:eastAsia="Arial" w:hAnsi="Arial"/>
        <w:color w:val="5B6B85"/>
        <w:sz w:val="16"/>
        <w:szCs w:val="16"/>
      </w:rPr>
      <w:t xml:space="preserve"> de </w:t>
    </w:r>
    <w:r>
      <w:rPr>
        <w:rFonts w:ascii="Arial" w:cs="Arial" w:eastAsia="Arial" w:hAnsi="Arial"/>
        <w:color w:val="5B6B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5F0" w:sz="4" w:space="4"/>
      </w:pBdr>
    </w:pPr>
    <w:r>
      <w:rPr>
        <w:rFonts w:ascii="Arial" w:cs="Arial" w:eastAsia="Arial" w:hAnsi="Arial"/>
        <w:color w:val="5B6B85"/>
        <w:sz w:val="16"/>
        <w:szCs w:val="16"/>
      </w:rPr>
      <w:t xml:space="preserve">ENETRADEX — Wizard de Acreditación e Importación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675A8" w:sz="6" w:space="4"/>
      </w:pBdr>
      <w:spacing w:after="200" w:before="400"/>
      <w:outlineLvl w:val="0"/>
    </w:pPr>
    <w:rPr>
      <w:rFonts w:ascii="Arial" w:cs="Arial" w:eastAsia="Arial" w:hAnsi="Arial"/>
      <w:b/>
      <w:bCs/>
      <w:color w:val="1A2E4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2E4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675A8"/>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2026-07-13T23:58:10.477Z</dcterms:created>
  <dcterms:modified xsi:type="dcterms:W3CDTF">2026-07-13T23:58:10.478Z</dcterms:modified>
</cp:coreProperties>
</file>

<file path=docProps/custom.xml><?xml version="1.0" encoding="utf-8"?>
<Properties xmlns="http://schemas.openxmlformats.org/officeDocument/2006/custom-properties" xmlns:vt="http://schemas.openxmlformats.org/officeDocument/2006/docPropsVTypes"/>
</file>