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972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133"/>
        <w:gridCol w:w="8838"/>
      </w:tblGrid>
      <w:tr>
        <w:tc>
          <w:tcPr>
            <w:tcW w:type="dxa" w:w="1134"/>
            <w:vAlign w:val="center"/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576000" cy="57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" cy="57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838"/>
            <w:vAlign w:val="center"/>
          </w:tcPr>
          <w:p>
            <w:pPr>
              <w:spacing w:after="0"/>
            </w:pPr>
            <w:r>
              <w:rPr>
                <w:b/>
                <w:color w:val="3730A3"/>
                <w:sz w:val="44"/>
              </w:rPr>
              <w:t>Sprint Backlog</w:t>
            </w:r>
          </w:p>
          <w:p>
            <w:pPr>
              <w:spacing w:after="0"/>
            </w:pPr>
            <w:r>
              <w:rPr>
                <w:color w:val="475569"/>
                <w:sz w:val="22"/>
              </w:rPr>
              <w:t>Iteraciones del proyecto y tablero de la iteración actual</w:t>
            </w:r>
          </w:p>
        </w:tc>
      </w:tr>
    </w:tbl>
    <w:p>
      <w:pPr>
        <w:spacing w:after="120" w:before="40"/>
        <w:pBdr>
          <w:bottom w:val="single" w:sz="12" w:space="1" w:color="E11D48"/>
        </w:pBdr>
      </w:pPr>
    </w:p>
    <w:tbl>
      <w:tblPr>
        <w:tblW w:type="dxa" w:w="9972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1757"/>
        <w:gridCol w:w="3231"/>
        <w:gridCol w:w="1700"/>
        <w:gridCol w:w="3282"/>
      </w:tblGrid>
      <w:tr>
        <w:trPr>
          <w:cantSplit/>
        </w:trPr>
        <w:tc>
          <w:tcPr>
            <w:tcW w:type="dxa" w:w="1757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Proyecto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9"/>
              </w:rPr>
              <w:t>Revela (ex GeoCRM)</w:t>
            </w:r>
          </w:p>
        </w:tc>
        <w:tc>
          <w:tcPr>
            <w:tcW w:type="dxa" w:w="1701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Autor</w:t>
            </w:r>
          </w:p>
        </w:tc>
        <w:tc>
          <w:tcPr>
            <w:tcW w:type="dxa" w:w="3283"/>
          </w:tcPr>
          <w:p>
            <w:pPr>
              <w:spacing w:after="0"/>
            </w:pPr>
            <w:r>
              <w:rPr>
                <w:sz w:val="19"/>
              </w:rPr>
              <w:t>Yair Hamir Costa Pérez</w:t>
            </w:r>
          </w:p>
        </w:tc>
      </w:tr>
      <w:tr>
        <w:trPr>
          <w:cantSplit/>
        </w:trPr>
        <w:tc>
          <w:tcPr>
            <w:tcW w:type="dxa" w:w="1757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Código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9"/>
              </w:rPr>
              <w:t>REV-04</w:t>
            </w:r>
          </w:p>
        </w:tc>
        <w:tc>
          <w:tcPr>
            <w:tcW w:type="dxa" w:w="1701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Asignatura</w:t>
            </w:r>
          </w:p>
        </w:tc>
        <w:tc>
          <w:tcPr>
            <w:tcW w:type="dxa" w:w="3283"/>
          </w:tcPr>
          <w:p>
            <w:pPr>
              <w:spacing w:after="0"/>
            </w:pPr>
            <w:r>
              <w:rPr>
                <w:sz w:val="19"/>
              </w:rPr>
              <w:t>CAPSTONE (APT122) · sección 003D</w:t>
            </w:r>
          </w:p>
        </w:tc>
      </w:tr>
      <w:tr>
        <w:trPr>
          <w:cantSplit/>
        </w:trPr>
        <w:tc>
          <w:tcPr>
            <w:tcW w:type="dxa" w:w="1757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Versión / fecha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9"/>
              </w:rPr>
              <w:t>1.0 · 01-10-2026</w:t>
            </w:r>
          </w:p>
        </w:tc>
        <w:tc>
          <w:tcPr>
            <w:tcW w:type="dxa" w:w="1701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Institución</w:t>
            </w:r>
          </w:p>
        </w:tc>
        <w:tc>
          <w:tcPr>
            <w:tcW w:type="dxa" w:w="3283"/>
          </w:tcPr>
          <w:p>
            <w:pPr>
              <w:spacing w:after="0"/>
            </w:pPr>
            <w:r>
              <w:rPr>
                <w:sz w:val="19"/>
              </w:rPr>
              <w:t>Duoc UC · Sede Antonio Varas</w:t>
            </w:r>
          </w:p>
        </w:tc>
      </w:tr>
      <w:tr>
        <w:trPr>
          <w:cantSplit/>
        </w:trPr>
        <w:tc>
          <w:tcPr>
            <w:tcW w:type="dxa" w:w="1757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Estado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9"/>
              </w:rPr>
              <w:t>Versión para revisión</w:t>
            </w:r>
          </w:p>
        </w:tc>
        <w:tc>
          <w:tcPr>
            <w:tcW w:type="dxa" w:w="1701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Docente</w:t>
            </w:r>
          </w:p>
        </w:tc>
        <w:tc>
          <w:tcPr>
            <w:tcW w:type="dxa" w:w="3283"/>
          </w:tcPr>
          <w:p>
            <w:pPr>
              <w:spacing w:after="0"/>
            </w:pPr>
            <w:r>
              <w:rPr>
                <w:sz w:val="19"/>
              </w:rPr>
              <w:t>Rocío Contreras</w:t>
            </w:r>
          </w:p>
        </w:tc>
      </w:tr>
    </w:tbl>
    <w:p>
      <w:pPr>
        <w:spacing w:after="0" w:before="0" w:line="80" w:lineRule="exact"/>
      </w:pPr>
      <w:r>
        <w:rPr>
          <w:sz w:val="8"/>
        </w:rPr>
      </w:r>
    </w:p>
    <w:p>
      <w:r>
        <w:rPr>
          <w:i/>
          <w:color w:val="475569"/>
          <w:sz w:val="18"/>
        </w:rPr>
        <w:t>Reconstruido desde el historial real de Git: cada fila de las iteraciones 1 a 4 corresponde a un commit. El repositorio se inició el 23-09-2026 con un primer commit que trae el producto ya desarrollado en local (entonces llamado GeoCRM); por eso la iteración 1 concentra ese trabajo previo.</w:t>
      </w:r>
    </w:p>
    <w:p>
      <w:pPr>
        <w:pStyle w:val="Heading1"/>
      </w:pPr>
      <w:r>
        <w:t>1. Resumen de iteraciones</w:t>
      </w:r>
    </w:p>
    <w:tbl>
      <w:tblPr>
        <w:tblW w:type="dxa" w:w="9972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793"/>
        <w:gridCol w:w="2040"/>
        <w:gridCol w:w="5777"/>
        <w:gridCol w:w="1360"/>
      </w:tblGrid>
      <w:tr>
        <w:trPr>
          <w:cantSplit/>
          <w:tblHeader/>
        </w:trPr>
        <w:tc>
          <w:tcPr>
            <w:tcW w:type="dxa" w:w="794"/>
            <w:shd w:val="clear" w:color="auto" w:fill="3730A3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Iter.</w:t>
            </w:r>
          </w:p>
        </w:tc>
        <w:tc>
          <w:tcPr>
            <w:tcW w:type="dxa" w:w="2041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Fechas</w:t>
            </w:r>
          </w:p>
        </w:tc>
        <w:tc>
          <w:tcPr>
            <w:tcW w:type="dxa" w:w="5777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Meta</w:t>
            </w:r>
          </w:p>
        </w:tc>
        <w:tc>
          <w:tcPr>
            <w:tcW w:type="dxa" w:w="1361"/>
            <w:shd w:val="clear" w:color="auto" w:fill="3730A3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Commits</w:t>
            </w:r>
          </w:p>
        </w:tc>
      </w:tr>
      <w:tr>
        <w:trPr>
          <w:cantSplit/>
        </w:trPr>
        <w:tc>
          <w:tcPr>
            <w:tcW w:type="dxa" w:w="794"/>
            <w:vAlign w:val="top"/>
          </w:tcPr>
          <w:p>
            <w:pPr>
              <w:keepNext/>
              <w:spacing w:after="0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23-09-2026</w:t>
            </w:r>
          </w:p>
        </w:tc>
        <w:tc>
          <w:tcPr>
            <w:tcW w:type="dxa" w:w="5777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Producto base, marca y cumplimiento: CRM multiempresa con demo y la base legal resuelta</w:t>
            </w:r>
          </w:p>
        </w:tc>
        <w:tc>
          <w:tcPr>
            <w:tcW w:type="dxa" w:w="1361"/>
            <w:vAlign w:val="top"/>
          </w:tcPr>
          <w:p>
            <w:pPr>
              <w:keepNext/>
              <w:spacing w:after="0"/>
              <w:jc w:val="center"/>
            </w:pPr>
            <w:r>
              <w:rPr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794"/>
            <w:vAlign w:val="top"/>
            <w:shd w:val="clear" w:color="auto" w:fill="F8FAFC"/>
          </w:tcPr>
          <w:p>
            <w:pPr>
              <w:keepNext/>
              <w:spacing w:after="0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2041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25 y 26-09-2026</w:t>
            </w:r>
          </w:p>
        </w:tc>
        <w:tc>
          <w:tcPr>
            <w:tcW w:type="dxa" w:w="5777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Base de datos real y conexión por etapas: pasar de datos en memoria a PostgreSQL con seguridad por empresa</w:t>
            </w:r>
          </w:p>
        </w:tc>
        <w:tc>
          <w:tcPr>
            <w:tcW w:type="dxa" w:w="1361"/>
            <w:vAlign w:val="top"/>
            <w:shd w:val="clear" w:color="auto" w:fill="F8FAFC"/>
          </w:tcPr>
          <w:p>
            <w:pPr>
              <w:keepNext/>
              <w:spacing w:after="0"/>
              <w:jc w:val="center"/>
            </w:pPr>
            <w:r>
              <w:rPr>
                <w:sz w:val="18"/>
              </w:rPr>
              <w:t>10</w:t>
            </w:r>
          </w:p>
        </w:tc>
      </w:tr>
      <w:tr>
        <w:trPr>
          <w:cantSplit/>
        </w:trPr>
        <w:tc>
          <w:tcPr>
            <w:tcW w:type="dxa" w:w="794"/>
            <w:vAlign w:val="top"/>
          </w:tcPr>
          <w:p>
            <w:pPr>
              <w:keepNext/>
              <w:spacing w:after="0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27-09-2026</w:t>
            </w:r>
          </w:p>
        </w:tc>
        <w:tc>
          <w:tcPr>
            <w:tcW w:type="dxa" w:w="5777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Zonas oficiales, publicación, seguridad y región: publicar la app y abrirla a 19 países</w:t>
            </w:r>
          </w:p>
        </w:tc>
        <w:tc>
          <w:tcPr>
            <w:tcW w:type="dxa" w:w="1361"/>
            <w:vAlign w:val="top"/>
          </w:tcPr>
          <w:p>
            <w:pPr>
              <w:keepNext/>
              <w:spacing w:after="0"/>
              <w:jc w:val="center"/>
            </w:pPr>
            <w:r>
              <w:rPr>
                <w:sz w:val="18"/>
              </w:rPr>
              <w:t>8</w:t>
            </w:r>
          </w:p>
        </w:tc>
      </w:tr>
      <w:tr>
        <w:trPr>
          <w:cantSplit/>
        </w:trPr>
        <w:tc>
          <w:tcPr>
            <w:tcW w:type="dxa" w:w="794"/>
            <w:vAlign w:val="top"/>
            <w:shd w:val="clear" w:color="auto" w:fill="F8FAFC"/>
          </w:tcPr>
          <w:p>
            <w:pPr>
              <w:keepNext/>
              <w:spacing w:after="0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2041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28 al 30-09-2026</w:t>
            </w:r>
          </w:p>
        </w:tc>
        <w:tc>
          <w:tcPr>
            <w:tcW w:type="dxa" w:w="5777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Rendimiento, soporte y asistente de IA con control de costo</w:t>
            </w:r>
          </w:p>
        </w:tc>
        <w:tc>
          <w:tcPr>
            <w:tcW w:type="dxa" w:w="1361"/>
            <w:vAlign w:val="top"/>
            <w:shd w:val="clear" w:color="auto" w:fill="F8FAFC"/>
          </w:tcPr>
          <w:p>
            <w:pPr>
              <w:keepNext/>
              <w:spacing w:after="0"/>
              <w:jc w:val="center"/>
            </w:pPr>
            <w:r>
              <w:rPr>
                <w:sz w:val="18"/>
              </w:rPr>
              <w:t>10</w:t>
            </w:r>
          </w:p>
        </w:tc>
      </w:tr>
      <w:tr>
        <w:trPr>
          <w:cantSplit/>
        </w:trPr>
        <w:tc>
          <w:tcPr>
            <w:tcW w:type="dxa" w:w="794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2041"/>
            <w:vAlign w:val="top"/>
          </w:tcPr>
          <w:p>
            <w:pPr>
              <w:spacing w:after="0"/>
            </w:pPr>
            <w:r>
              <w:rPr>
                <w:sz w:val="18"/>
              </w:rPr>
              <w:t>30-09 al 06-10-2026</w:t>
            </w:r>
          </w:p>
        </w:tc>
        <w:tc>
          <w:tcPr>
            <w:tcW w:type="dxa" w:w="5777"/>
            <w:vAlign w:val="top"/>
          </w:tcPr>
          <w:p>
            <w:pPr>
              <w:spacing w:after="0"/>
            </w:pPr>
            <w:r>
              <w:rPr>
                <w:sz w:val="18"/>
              </w:rPr>
              <w:t>Evidencias para la evaluación: repositorio, documentación del instructivo, Docker y pruebas de rendimiento</w:t>
            </w:r>
          </w:p>
        </w:tc>
        <w:tc>
          <w:tcPr>
            <w:tcW w:type="dxa" w:w="1361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En curso</w:t>
            </w:r>
          </w:p>
        </w:tc>
      </w:tr>
    </w:tbl>
    <w:p>
      <w:pPr>
        <w:spacing w:after="0" w:before="0" w:line="120" w:lineRule="exact"/>
      </w:pPr>
      <w:r>
        <w:rPr>
          <w:sz w:val="12"/>
        </w:rPr>
      </w:r>
    </w:p>
    <w:p>
      <w:pPr>
        <w:pStyle w:val="Heading1"/>
      </w:pPr>
      <w:r>
        <w:t>2. Detalle por iteración</w:t>
      </w:r>
    </w:p>
    <w:p>
      <w:pPr>
        <w:pStyle w:val="Heading2"/>
      </w:pPr>
      <w:r>
        <w:t>Iteración 1 · 23-09-2026 · Producto base, marca y cumplimiento</w:t>
      </w:r>
    </w:p>
    <w:tbl>
      <w:tblPr>
        <w:tblW w:type="dxa" w:w="9972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1020"/>
        <w:gridCol w:w="6803"/>
        <w:gridCol w:w="2148"/>
      </w:tblGrid>
      <w:tr>
        <w:trPr>
          <w:cantSplit/>
          <w:tblHeader/>
        </w:trPr>
        <w:tc>
          <w:tcPr>
            <w:tcW w:type="dxa" w:w="1020"/>
            <w:shd w:val="clear" w:color="auto" w:fill="3730A3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6803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Entrega</w:t>
            </w:r>
          </w:p>
        </w:tc>
        <w:tc>
          <w:tcPr>
            <w:tcW w:type="dxa" w:w="2149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Historias</w:t>
            </w:r>
          </w:p>
        </w:tc>
      </w:tr>
      <w:tr>
        <w:trPr>
          <w:cantSplit/>
        </w:trPr>
        <w:tc>
          <w:tcPr>
            <w:tcW w:type="dxa" w:w="1020"/>
            <w:vAlign w:val="top"/>
          </w:tcPr>
          <w:p>
            <w:pPr>
              <w:keepNext/>
              <w:spacing w:after="0"/>
              <w:jc w:val="center"/>
            </w:pPr>
            <w:r>
              <w:rPr>
                <w:sz w:val="18"/>
              </w:rPr>
              <w:t>23-09</w:t>
            </w:r>
          </w:p>
        </w:tc>
        <w:tc>
          <w:tcPr>
            <w:tcW w:type="dxa" w:w="6803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GeoCRM: CRM multiempresa con inteligencia geográfica</w:t>
            </w:r>
          </w:p>
        </w:tc>
        <w:tc>
          <w:tcPr>
            <w:tcW w:type="dxa" w:w="2149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HU-01 a HU-08, HU-10</w:t>
            </w:r>
          </w:p>
        </w:tc>
      </w:tr>
      <w:tr>
        <w:trPr>
          <w:cantSplit/>
        </w:trPr>
        <w:tc>
          <w:tcPr>
            <w:tcW w:type="dxa" w:w="1020"/>
            <w:vAlign w:val="top"/>
            <w:shd w:val="clear" w:color="auto" w:fill="F8FAFC"/>
          </w:tcPr>
          <w:p>
            <w:pPr>
              <w:keepNext/>
              <w:spacing w:after="0"/>
              <w:jc w:val="center"/>
            </w:pPr>
            <w:r>
              <w:rPr>
                <w:sz w:val="18"/>
              </w:rPr>
              <w:t>23-09</w:t>
            </w:r>
          </w:p>
        </w:tc>
        <w:tc>
          <w:tcPr>
            <w:tcW w:type="dxa" w:w="6803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Renombra el producto de GeoCRM a Revela</w:t>
            </w:r>
          </w:p>
        </w:tc>
        <w:tc>
          <w:tcPr>
            <w:tcW w:type="dxa" w:w="2149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020"/>
            <w:vAlign w:val="top"/>
          </w:tcPr>
          <w:p>
            <w:pPr>
              <w:keepNext/>
              <w:spacing w:after="0"/>
              <w:jc w:val="center"/>
            </w:pPr>
            <w:r>
              <w:rPr>
                <w:sz w:val="18"/>
              </w:rPr>
              <w:t>23-09</w:t>
            </w:r>
          </w:p>
        </w:tc>
        <w:tc>
          <w:tcPr>
            <w:tcW w:type="dxa" w:w="6803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Cuenta demo pública, logo propio y cambio de contraseña</w:t>
            </w:r>
          </w:p>
        </w:tc>
        <w:tc>
          <w:tcPr>
            <w:tcW w:type="dxa" w:w="2149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HU-15</w:t>
            </w:r>
          </w:p>
        </w:tc>
      </w:tr>
      <w:tr>
        <w:trPr>
          <w:cantSplit/>
        </w:trPr>
        <w:tc>
          <w:tcPr>
            <w:tcW w:type="dxa" w:w="1020"/>
            <w:vAlign w:val="top"/>
            <w:shd w:val="clear" w:color="auto" w:fill="F8FAFC"/>
          </w:tcPr>
          <w:p>
            <w:pPr>
              <w:keepNext/>
              <w:spacing w:after="0"/>
              <w:jc w:val="center"/>
            </w:pPr>
            <w:r>
              <w:rPr>
                <w:sz w:val="18"/>
              </w:rPr>
              <w:t>23-09</w:t>
            </w:r>
          </w:p>
        </w:tc>
        <w:tc>
          <w:tcPr>
            <w:tcW w:type="dxa" w:w="6803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Derechos del titular en el producto y expediente de cumplimiento (Ley 21.719)</w:t>
            </w:r>
          </w:p>
        </w:tc>
        <w:tc>
          <w:tcPr>
            <w:tcW w:type="dxa" w:w="2149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HU-09</w:t>
            </w:r>
          </w:p>
        </w:tc>
      </w:tr>
      <w:tr>
        <w:trPr>
          <w:cantSplit/>
        </w:trPr>
        <w:tc>
          <w:tcPr>
            <w:tcW w:type="dxa" w:w="1020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23-09</w:t>
            </w:r>
          </w:p>
        </w:tc>
        <w:tc>
          <w:tcPr>
            <w:tcW w:type="dxa" w:w="6803"/>
            <w:vAlign w:val="top"/>
          </w:tcPr>
          <w:p>
            <w:pPr>
              <w:spacing w:after="0"/>
            </w:pPr>
            <w:r>
              <w:rPr>
                <w:sz w:val="18"/>
              </w:rPr>
              <w:t>Separación de funciones en derechos y portal fiscalizador</w:t>
            </w:r>
          </w:p>
        </w:tc>
        <w:tc>
          <w:tcPr>
            <w:tcW w:type="dxa" w:w="2149"/>
            <w:vAlign w:val="top"/>
          </w:tcPr>
          <w:p>
            <w:pPr>
              <w:spacing w:after="0"/>
            </w:pPr>
            <w:r>
              <w:rPr>
                <w:sz w:val="18"/>
              </w:rPr>
              <w:t>HU-09</w:t>
            </w:r>
          </w:p>
        </w:tc>
      </w:tr>
    </w:tbl>
    <w:p>
      <w:pPr>
        <w:spacing w:after="0" w:before="0" w:line="120" w:lineRule="exact"/>
      </w:pPr>
      <w:r>
        <w:rPr>
          <w:sz w:val="12"/>
        </w:rPr>
      </w:r>
    </w:p>
    <w:p>
      <w:pPr>
        <w:pStyle w:val="Heading2"/>
      </w:pPr>
      <w:r>
        <w:t>Iteración 2 · 25 y 26-09-2026 · Base de datos real y conexión por etapas</w:t>
      </w:r>
    </w:p>
    <w:tbl>
      <w:tblPr>
        <w:tblW w:type="dxa" w:w="9972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1020"/>
        <w:gridCol w:w="6803"/>
        <w:gridCol w:w="2148"/>
      </w:tblGrid>
      <w:tr>
        <w:trPr>
          <w:cantSplit/>
          <w:tblHeader/>
        </w:trPr>
        <w:tc>
          <w:tcPr>
            <w:tcW w:type="dxa" w:w="1020"/>
            <w:shd w:val="clear" w:color="auto" w:fill="3730A3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6803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Entrega</w:t>
            </w:r>
          </w:p>
        </w:tc>
        <w:tc>
          <w:tcPr>
            <w:tcW w:type="dxa" w:w="2149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Historias</w:t>
            </w:r>
          </w:p>
        </w:tc>
      </w:tr>
      <w:tr>
        <w:trPr>
          <w:cantSplit/>
        </w:trPr>
        <w:tc>
          <w:tcPr>
            <w:tcW w:type="dxa" w:w="1020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25-09</w:t>
            </w:r>
          </w:p>
        </w:tc>
        <w:tc>
          <w:tcPr>
            <w:tcW w:type="dxa" w:w="6803"/>
            <w:vAlign w:val="top"/>
          </w:tcPr>
          <w:p>
            <w:pPr>
              <w:spacing w:after="0"/>
            </w:pPr>
            <w:r>
              <w:rPr>
                <w:sz w:val="18"/>
              </w:rPr>
              <w:t>Base del dato obligatoria, plazo de prospectos y asistente limitado a empresas</w:t>
            </w:r>
          </w:p>
        </w:tc>
        <w:tc>
          <w:tcPr>
            <w:tcW w:type="dxa" w:w="2149"/>
            <w:vAlign w:val="top"/>
          </w:tcPr>
          <w:p>
            <w:pPr>
              <w:spacing w:after="0"/>
            </w:pPr>
            <w:r>
              <w:rPr>
                <w:sz w:val="18"/>
              </w:rPr>
              <w:t>HU-01, HU-12</w:t>
            </w:r>
          </w:p>
        </w:tc>
      </w:tr>
      <w:tr>
        <w:trPr>
          <w:cantSplit/>
        </w:trPr>
        <w:tc>
          <w:tcPr>
            <w:tcW w:type="dxa" w:w="1020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8"/>
              </w:rPr>
              <w:t>25-09</w:t>
            </w:r>
          </w:p>
        </w:tc>
        <w:tc>
          <w:tcPr>
            <w:tcW w:type="dxa" w:w="6803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Bloqueo en los guards y auditoría sin datos personales</w:t>
            </w:r>
          </w:p>
        </w:tc>
        <w:tc>
          <w:tcPr>
            <w:tcW w:type="dxa" w:w="2149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HU-08, HU-09</w:t>
            </w:r>
          </w:p>
        </w:tc>
      </w:tr>
      <w:tr>
        <w:trPr>
          <w:cantSplit/>
        </w:trPr>
        <w:tc>
          <w:tcPr>
            <w:tcW w:type="dxa" w:w="1020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25-09</w:t>
            </w:r>
          </w:p>
        </w:tc>
        <w:tc>
          <w:tcPr>
            <w:tcW w:type="dxa" w:w="6803"/>
            <w:vAlign w:val="top"/>
          </w:tcPr>
          <w:p>
            <w:pPr>
              <w:spacing w:after="0"/>
            </w:pPr>
            <w:r>
              <w:rPr>
                <w:sz w:val="18"/>
              </w:rPr>
              <w:t>Asistente de IA con GPT (OpenAI) como proveedor alternativo</w:t>
            </w:r>
          </w:p>
        </w:tc>
        <w:tc>
          <w:tcPr>
            <w:tcW w:type="dxa" w:w="2149"/>
            <w:vAlign w:val="top"/>
          </w:tcPr>
          <w:p>
            <w:pPr>
              <w:spacing w:after="0"/>
            </w:pPr>
            <w:r>
              <w:rPr>
                <w:sz w:val="18"/>
              </w:rPr>
              <w:t>HU-12</w:t>
            </w:r>
          </w:p>
        </w:tc>
      </w:tr>
      <w:tr>
        <w:trPr>
          <w:cantSplit/>
        </w:trPr>
        <w:tc>
          <w:tcPr>
            <w:tcW w:type="dxa" w:w="1020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8"/>
              </w:rPr>
              <w:t>25-09</w:t>
            </w:r>
          </w:p>
        </w:tc>
        <w:tc>
          <w:tcPr>
            <w:tcW w:type="dxa" w:w="6803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Base de datos en Supabase: migraciones aplicadas y reglas de privacidad en la base</w:t>
            </w:r>
          </w:p>
        </w:tc>
        <w:tc>
          <w:tcPr>
            <w:tcW w:type="dxa" w:w="2149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HU-05</w:t>
            </w:r>
          </w:p>
        </w:tc>
      </w:tr>
      <w:tr>
        <w:trPr>
          <w:cantSplit/>
        </w:trPr>
        <w:tc>
          <w:tcPr>
            <w:tcW w:type="dxa" w:w="1020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25-09</w:t>
            </w:r>
          </w:p>
        </w:tc>
        <w:tc>
          <w:tcPr>
            <w:tcW w:type="dxa" w:w="6803"/>
            <w:vAlign w:val="top"/>
          </w:tcPr>
          <w:p>
            <w:pPr>
              <w:spacing w:after="0"/>
            </w:pPr>
            <w:r>
              <w:rPr>
                <w:sz w:val="18"/>
              </w:rPr>
              <w:t>Conexión con Supabase, etapa 1: login real, CRMs e invitaciones</w:t>
            </w:r>
          </w:p>
        </w:tc>
        <w:tc>
          <w:tcPr>
            <w:tcW w:type="dxa" w:w="2149"/>
            <w:vAlign w:val="top"/>
          </w:tcPr>
          <w:p>
            <w:pPr>
              <w:spacing w:after="0"/>
            </w:pPr>
            <w:r>
              <w:rPr>
                <w:sz w:val="18"/>
              </w:rPr>
              <w:t>HU-07, HU-10</w:t>
            </w:r>
          </w:p>
        </w:tc>
      </w:tr>
      <w:tr>
        <w:trPr>
          <w:cantSplit/>
        </w:trPr>
        <w:tc>
          <w:tcPr>
            <w:tcW w:type="dxa" w:w="1020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8"/>
              </w:rPr>
              <w:t>26-09</w:t>
            </w:r>
          </w:p>
        </w:tc>
        <w:tc>
          <w:tcPr>
            <w:tcW w:type="dxa" w:w="6803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Conexión con Supabase, etapa 2: equipo del gerente y auditoría en la base</w:t>
            </w:r>
          </w:p>
        </w:tc>
        <w:tc>
          <w:tcPr>
            <w:tcW w:type="dxa" w:w="2149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HU-07, HU-08</w:t>
            </w:r>
          </w:p>
        </w:tc>
      </w:tr>
      <w:tr>
        <w:trPr>
          <w:cantSplit/>
        </w:trPr>
        <w:tc>
          <w:tcPr>
            <w:tcW w:type="dxa" w:w="1020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26-09</w:t>
            </w:r>
          </w:p>
        </w:tc>
        <w:tc>
          <w:tcPr>
            <w:tcW w:type="dxa" w:w="6803"/>
            <w:vAlign w:val="top"/>
          </w:tcPr>
          <w:p>
            <w:pPr>
              <w:spacing w:after="0"/>
            </w:pPr>
            <w:r>
              <w:rPr>
                <w:sz w:val="18"/>
              </w:rPr>
              <w:t>Permisos de tablas para service_role: las invitaciones fallaban (migración 0016)</w:t>
            </w:r>
          </w:p>
        </w:tc>
        <w:tc>
          <w:tcPr>
            <w:tcW w:type="dxa" w:w="2149"/>
            <w:vAlign w:val="top"/>
          </w:tcPr>
          <w:p>
            <w:pPr>
              <w:spacing w:after="0"/>
            </w:pPr>
            <w:r>
              <w:rPr>
                <w:sz w:val="18"/>
              </w:rPr>
              <w:t>HU-07</w:t>
            </w:r>
          </w:p>
        </w:tc>
      </w:tr>
      <w:tr>
        <w:trPr>
          <w:cantSplit/>
        </w:trPr>
        <w:tc>
          <w:tcPr>
            <w:tcW w:type="dxa" w:w="1020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8"/>
              </w:rPr>
              <w:t>26-09</w:t>
            </w:r>
          </w:p>
        </w:tc>
        <w:tc>
          <w:tcPr>
            <w:tcW w:type="dxa" w:w="6803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Conexión con Supabase, etapa 3: el trabajo diario del CRM en la base</w:t>
            </w:r>
          </w:p>
        </w:tc>
        <w:tc>
          <w:tcPr>
            <w:tcW w:type="dxa" w:w="2149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HU-01 a HU-06</w:t>
            </w:r>
          </w:p>
        </w:tc>
      </w:tr>
      <w:tr>
        <w:trPr>
          <w:cantSplit/>
        </w:trPr>
        <w:tc>
          <w:tcPr>
            <w:tcW w:type="dxa" w:w="1020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26-09</w:t>
            </w:r>
          </w:p>
        </w:tc>
        <w:tc>
          <w:tcPr>
            <w:tcW w:type="dxa" w:w="6803"/>
            <w:vAlign w:val="top"/>
          </w:tcPr>
          <w:p>
            <w:pPr>
              <w:spacing w:after="0"/>
            </w:pPr>
            <w:r>
              <w:rPr>
                <w:sz w:val="18"/>
              </w:rPr>
              <w:t>Conexión con Supabase, etapas 4 y 5: etapas del pipeline y exportación</w:t>
            </w:r>
          </w:p>
        </w:tc>
        <w:tc>
          <w:tcPr>
            <w:tcW w:type="dxa" w:w="2149"/>
            <w:vAlign w:val="top"/>
          </w:tcPr>
          <w:p>
            <w:pPr>
              <w:spacing w:after="0"/>
            </w:pPr>
            <w:r>
              <w:rPr>
                <w:sz w:val="18"/>
              </w:rPr>
              <w:t>HU-02, HU-10</w:t>
            </w:r>
          </w:p>
        </w:tc>
      </w:tr>
      <w:tr>
        <w:trPr>
          <w:cantSplit/>
        </w:trPr>
        <w:tc>
          <w:tcPr>
            <w:tcW w:type="dxa" w:w="1020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8"/>
              </w:rPr>
              <w:t>26-09</w:t>
            </w:r>
          </w:p>
        </w:tc>
        <w:tc>
          <w:tcPr>
            <w:tcW w:type="dxa" w:w="6803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Mapa por zonas y sin coordenadas de los leads (minimización de datos)</w:t>
            </w:r>
          </w:p>
        </w:tc>
        <w:tc>
          <w:tcPr>
            <w:tcW w:type="dxa" w:w="2149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HU-04</w:t>
            </w:r>
          </w:p>
        </w:tc>
      </w:tr>
    </w:tbl>
    <w:p>
      <w:pPr>
        <w:spacing w:after="0" w:before="0" w:line="120" w:lineRule="exact"/>
      </w:pPr>
      <w:r>
        <w:rPr>
          <w:sz w:val="12"/>
        </w:rPr>
      </w:r>
    </w:p>
    <w:p>
      <w:pPr>
        <w:pStyle w:val="Heading2"/>
      </w:pPr>
      <w:r>
        <w:t>Iteración 3 · 27-09-2026 · Zonas oficiales, publicación, seguridad y región</w:t>
      </w:r>
    </w:p>
    <w:tbl>
      <w:tblPr>
        <w:tblW w:type="dxa" w:w="9972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1020"/>
        <w:gridCol w:w="6803"/>
        <w:gridCol w:w="2148"/>
      </w:tblGrid>
      <w:tr>
        <w:trPr>
          <w:cantSplit/>
          <w:tblHeader/>
        </w:trPr>
        <w:tc>
          <w:tcPr>
            <w:tcW w:type="dxa" w:w="1020"/>
            <w:shd w:val="clear" w:color="auto" w:fill="3730A3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6803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Entrega</w:t>
            </w:r>
          </w:p>
        </w:tc>
        <w:tc>
          <w:tcPr>
            <w:tcW w:type="dxa" w:w="2149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Historias</w:t>
            </w:r>
          </w:p>
        </w:tc>
      </w:tr>
      <w:tr>
        <w:trPr>
          <w:cantSplit/>
        </w:trPr>
        <w:tc>
          <w:tcPr>
            <w:tcW w:type="dxa" w:w="1020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27-09</w:t>
            </w:r>
          </w:p>
        </w:tc>
        <w:tc>
          <w:tcPr>
            <w:tcW w:type="dxa" w:w="6803"/>
            <w:vAlign w:val="top"/>
          </w:tcPr>
          <w:p>
            <w:pPr>
              <w:spacing w:after="0"/>
            </w:pPr>
            <w:r>
              <w:rPr>
                <w:sz w:val="18"/>
              </w:rPr>
              <w:t>Zonas oficiales de Chile y Perú, agrupadas por región</w:t>
            </w:r>
          </w:p>
        </w:tc>
        <w:tc>
          <w:tcPr>
            <w:tcW w:type="dxa" w:w="2149"/>
            <w:vAlign w:val="top"/>
          </w:tcPr>
          <w:p>
            <w:pPr>
              <w:spacing w:after="0"/>
            </w:pPr>
            <w:r>
              <w:rPr>
                <w:sz w:val="18"/>
              </w:rPr>
              <w:t>HU-04</w:t>
            </w:r>
          </w:p>
        </w:tc>
      </w:tr>
      <w:tr>
        <w:trPr>
          <w:cantSplit/>
        </w:trPr>
        <w:tc>
          <w:tcPr>
            <w:tcW w:type="dxa" w:w="1020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8"/>
              </w:rPr>
              <w:t>27-09</w:t>
            </w:r>
          </w:p>
        </w:tc>
        <w:tc>
          <w:tcPr>
            <w:tcW w:type="dxa" w:w="6803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Limpieza antes de publicar: sin coordenadas en la base, mapa liviano y sin CRMs de prueba</w:t>
            </w:r>
          </w:p>
        </w:tc>
        <w:tc>
          <w:tcPr>
            <w:tcW w:type="dxa" w:w="2149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HU-04</w:t>
            </w:r>
          </w:p>
        </w:tc>
      </w:tr>
      <w:tr>
        <w:trPr>
          <w:cantSplit/>
        </w:trPr>
        <w:tc>
          <w:tcPr>
            <w:tcW w:type="dxa" w:w="1020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27-09</w:t>
            </w:r>
          </w:p>
        </w:tc>
        <w:tc>
          <w:tcPr>
            <w:tcW w:type="dxa" w:w="6803"/>
            <w:vAlign w:val="top"/>
          </w:tcPr>
          <w:p>
            <w:pPr>
              <w:spacing w:after="0"/>
            </w:pPr>
            <w:r>
              <w:rPr>
                <w:sz w:val="18"/>
              </w:rPr>
              <w:t>Publicación en Vercel: la API como función empaquetada y pruebas del despliegue</w:t>
            </w:r>
          </w:p>
        </w:tc>
        <w:tc>
          <w:tcPr>
            <w:tcW w:type="dxa" w:w="2149"/>
            <w:vAlign w:val="top"/>
          </w:tcPr>
          <w:p>
            <w:pPr>
              <w:spacing w:after="0"/>
            </w:pPr>
            <w:r>
              <w:rPr>
                <w:sz w:val="18"/>
              </w:rPr>
              <w:t>HU-16</w:t>
            </w:r>
          </w:p>
        </w:tc>
      </w:tr>
      <w:tr>
        <w:trPr>
          <w:cantSplit/>
        </w:trPr>
        <w:tc>
          <w:tcPr>
            <w:tcW w:type="dxa" w:w="1020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8"/>
              </w:rPr>
              <w:t>27-09</w:t>
            </w:r>
          </w:p>
        </w:tc>
        <w:tc>
          <w:tcPr>
            <w:tcW w:type="dxa" w:w="6803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Revisión de seguridad de la app publicada: reglas por perfil en la base, asistente con sesión y CSP</w:t>
            </w:r>
          </w:p>
        </w:tc>
        <w:tc>
          <w:tcPr>
            <w:tcW w:type="dxa" w:w="2149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HU-05, HU-12</w:t>
            </w:r>
          </w:p>
        </w:tc>
      </w:tr>
      <w:tr>
        <w:trPr>
          <w:cantSplit/>
        </w:trPr>
        <w:tc>
          <w:tcPr>
            <w:tcW w:type="dxa" w:w="1020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27-09</w:t>
            </w:r>
          </w:p>
        </w:tc>
        <w:tc>
          <w:tcPr>
            <w:tcW w:type="dxa" w:w="6803"/>
            <w:vAlign w:val="top"/>
          </w:tcPr>
          <w:p>
            <w:pPr>
              <w:spacing w:after="0"/>
            </w:pPr>
            <w:r>
              <w:rPr>
                <w:sz w:val="18"/>
              </w:rPr>
              <w:t>Procesos de Revela en BPMN 2.0: cinco diagramas editables y su explicación</w:t>
            </w:r>
          </w:p>
        </w:tc>
        <w:tc>
          <w:tcPr>
            <w:tcW w:type="dxa" w:w="2149"/>
            <w:vAlign w:val="top"/>
          </w:tcPr>
          <w:p>
            <w:pPr>
              <w:spacing w:after="0"/>
            </w:pPr>
            <w:r>
              <w:rPr>
                <w:sz w:val="18"/>
              </w:rPr>
              <w:t>Documentación</w:t>
            </w:r>
          </w:p>
        </w:tc>
      </w:tr>
      <w:tr>
        <w:trPr>
          <w:cantSplit/>
        </w:trPr>
        <w:tc>
          <w:tcPr>
            <w:tcW w:type="dxa" w:w="1020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8"/>
              </w:rPr>
              <w:t>27-09</w:t>
            </w:r>
          </w:p>
        </w:tc>
        <w:tc>
          <w:tcPr>
            <w:tcW w:type="dxa" w:w="6803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América Latina: la gerencia elige sus países y cada uno trae sus zonas oficiales</w:t>
            </w:r>
          </w:p>
        </w:tc>
        <w:tc>
          <w:tcPr>
            <w:tcW w:type="dxa" w:w="2149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HU-11</w:t>
            </w:r>
          </w:p>
        </w:tc>
      </w:tr>
      <w:tr>
        <w:trPr>
          <w:cantSplit/>
        </w:trPr>
        <w:tc>
          <w:tcPr>
            <w:tcW w:type="dxa" w:w="1020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27-09</w:t>
            </w:r>
          </w:p>
        </w:tc>
        <w:tc>
          <w:tcPr>
            <w:tcW w:type="dxa" w:w="6803"/>
            <w:vAlign w:val="top"/>
          </w:tcPr>
          <w:p>
            <w:pPr>
              <w:spacing w:after="0"/>
            </w:pPr>
            <w:r>
              <w:rPr>
                <w:sz w:val="18"/>
              </w:rPr>
              <w:t>Divisas para ver el CRM: la gerencia suma las monedas de sus países activos</w:t>
            </w:r>
          </w:p>
        </w:tc>
        <w:tc>
          <w:tcPr>
            <w:tcW w:type="dxa" w:w="2149"/>
            <w:vAlign w:val="top"/>
          </w:tcPr>
          <w:p>
            <w:pPr>
              <w:spacing w:after="0"/>
            </w:pPr>
            <w:r>
              <w:rPr>
                <w:sz w:val="18"/>
              </w:rPr>
              <w:t>HU-11</w:t>
            </w:r>
          </w:p>
        </w:tc>
      </w:tr>
      <w:tr>
        <w:trPr>
          <w:cantSplit/>
        </w:trPr>
        <w:tc>
          <w:tcPr>
            <w:tcW w:type="dxa" w:w="1020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8"/>
              </w:rPr>
              <w:t>27-09</w:t>
            </w:r>
          </w:p>
        </w:tc>
        <w:tc>
          <w:tcPr>
            <w:tcW w:type="dxa" w:w="6803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Demo pública sin contraseñas (</w:t>
            </w:r>
            <w:r>
              <w:rPr>
                <w:rFonts w:ascii="Consolas" w:hAnsi="Consolas" w:eastAsia="Consolas"/>
                <w:color w:val="9D174D"/>
                <w:sz w:val="17"/>
              </w:rPr>
              <w:t>?demo</w:t>
            </w:r>
            <w:r>
              <w:rPr>
                <w:sz w:val="18"/>
              </w:rPr>
              <w:t>) y diagramas BPMN sin textos tapados</w:t>
            </w:r>
          </w:p>
        </w:tc>
        <w:tc>
          <w:tcPr>
            <w:tcW w:type="dxa" w:w="2149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HU-15</w:t>
            </w:r>
          </w:p>
        </w:tc>
      </w:tr>
    </w:tbl>
    <w:p>
      <w:pPr>
        <w:spacing w:after="0" w:before="0" w:line="120" w:lineRule="exact"/>
      </w:pPr>
      <w:r>
        <w:rPr>
          <w:sz w:val="12"/>
        </w:rPr>
      </w:r>
    </w:p>
    <w:p>
      <w:pPr>
        <w:pStyle w:val="Heading2"/>
      </w:pPr>
      <w:r>
        <w:t>Iteración 4 · 28 al 30-09-2026 · Rendimiento, soporte y asistente de IA con control de costo</w:t>
      </w:r>
    </w:p>
    <w:tbl>
      <w:tblPr>
        <w:tblW w:type="dxa" w:w="9972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1020"/>
        <w:gridCol w:w="6803"/>
        <w:gridCol w:w="2148"/>
      </w:tblGrid>
      <w:tr>
        <w:trPr>
          <w:cantSplit/>
          <w:tblHeader/>
        </w:trPr>
        <w:tc>
          <w:tcPr>
            <w:tcW w:type="dxa" w:w="1020"/>
            <w:shd w:val="clear" w:color="auto" w:fill="3730A3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6803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Entrega</w:t>
            </w:r>
          </w:p>
        </w:tc>
        <w:tc>
          <w:tcPr>
            <w:tcW w:type="dxa" w:w="2149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Historias</w:t>
            </w:r>
          </w:p>
        </w:tc>
      </w:tr>
      <w:tr>
        <w:trPr>
          <w:cantSplit/>
        </w:trPr>
        <w:tc>
          <w:tcPr>
            <w:tcW w:type="dxa" w:w="1020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28-09</w:t>
            </w:r>
          </w:p>
        </w:tc>
        <w:tc>
          <w:tcPr>
            <w:tcW w:type="dxa" w:w="6803"/>
            <w:vAlign w:val="top"/>
          </w:tcPr>
          <w:p>
            <w:pPr>
              <w:spacing w:after="0"/>
            </w:pPr>
            <w:r>
              <w:rPr>
                <w:sz w:val="18"/>
              </w:rPr>
              <w:t>BPMN en PNG a 4x, con títulos claros y versión para diapositivas</w:t>
            </w:r>
          </w:p>
        </w:tc>
        <w:tc>
          <w:tcPr>
            <w:tcW w:type="dxa" w:w="2149"/>
            <w:vAlign w:val="top"/>
          </w:tcPr>
          <w:p>
            <w:pPr>
              <w:spacing w:after="0"/>
            </w:pPr>
            <w:r>
              <w:rPr>
                <w:sz w:val="18"/>
              </w:rPr>
              <w:t>Documentación</w:t>
            </w:r>
          </w:p>
        </w:tc>
      </w:tr>
      <w:tr>
        <w:trPr>
          <w:cantSplit/>
        </w:trPr>
        <w:tc>
          <w:tcPr>
            <w:tcW w:type="dxa" w:w="1020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8"/>
              </w:rPr>
              <w:t>28-09</w:t>
            </w:r>
          </w:p>
        </w:tc>
        <w:tc>
          <w:tcPr>
            <w:tcW w:type="dxa" w:w="6803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Carga por partes: la app baja al entrar 190 KB de código propio en vez de 1 MB</w:t>
            </w:r>
          </w:p>
        </w:tc>
        <w:tc>
          <w:tcPr>
            <w:tcW w:type="dxa" w:w="2149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Rendimiento</w:t>
            </w:r>
          </w:p>
        </w:tc>
      </w:tr>
      <w:tr>
        <w:trPr>
          <w:cantSplit/>
        </w:trPr>
        <w:tc>
          <w:tcPr>
            <w:tcW w:type="dxa" w:w="1020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28-09</w:t>
            </w:r>
          </w:p>
        </w:tc>
        <w:tc>
          <w:tcPr>
            <w:tcW w:type="dxa" w:w="6803"/>
            <w:vAlign w:val="top"/>
          </w:tcPr>
          <w:p>
            <w:pPr>
              <w:spacing w:after="0"/>
            </w:pPr>
            <w:r>
              <w:rPr>
                <w:sz w:val="18"/>
              </w:rPr>
              <w:t>Catálogo: precio sugerido en gris, convertido desde el primer país con precio</w:t>
            </w:r>
          </w:p>
        </w:tc>
        <w:tc>
          <w:tcPr>
            <w:tcW w:type="dxa" w:w="2149"/>
            <w:vAlign w:val="top"/>
          </w:tcPr>
          <w:p>
            <w:pPr>
              <w:spacing w:after="0"/>
            </w:pPr>
            <w:r>
              <w:rPr>
                <w:sz w:val="18"/>
              </w:rPr>
              <w:t>HU-06, HU-11</w:t>
            </w:r>
          </w:p>
        </w:tc>
      </w:tr>
      <w:tr>
        <w:trPr>
          <w:cantSplit/>
        </w:trPr>
        <w:tc>
          <w:tcPr>
            <w:tcW w:type="dxa" w:w="1020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8"/>
              </w:rPr>
              <w:t>29-09</w:t>
            </w:r>
          </w:p>
        </w:tc>
        <w:tc>
          <w:tcPr>
            <w:tcW w:type="dxa" w:w="6803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Uso y soporte: panel del administrador, encuesta de satisfacción y reporte de errores</w:t>
            </w:r>
          </w:p>
        </w:tc>
        <w:tc>
          <w:tcPr>
            <w:tcW w:type="dxa" w:w="2149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HU-14</w:t>
            </w:r>
          </w:p>
        </w:tc>
      </w:tr>
      <w:tr>
        <w:trPr>
          <w:cantSplit/>
        </w:trPr>
        <w:tc>
          <w:tcPr>
            <w:tcW w:type="dxa" w:w="1020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30-09</w:t>
            </w:r>
          </w:p>
        </w:tc>
        <w:tc>
          <w:tcPr>
            <w:tcW w:type="dxa" w:w="6803"/>
            <w:vAlign w:val="top"/>
          </w:tcPr>
          <w:p>
            <w:pPr>
              <w:spacing w:after="0"/>
            </w:pPr>
            <w:r>
              <w:rPr>
                <w:sz w:val="18"/>
              </w:rPr>
              <w:t>Asistente con GPT: modelo más barato y presupuesto mensual por CRM (US$ 30) que ajusta la gerencia</w:t>
            </w:r>
          </w:p>
        </w:tc>
        <w:tc>
          <w:tcPr>
            <w:tcW w:type="dxa" w:w="2149"/>
            <w:vAlign w:val="top"/>
          </w:tcPr>
          <w:p>
            <w:pPr>
              <w:spacing w:after="0"/>
            </w:pPr>
            <w:r>
              <w:rPr>
                <w:sz w:val="18"/>
              </w:rPr>
              <w:t>HU-13</w:t>
            </w:r>
          </w:p>
        </w:tc>
      </w:tr>
      <w:tr>
        <w:trPr>
          <w:cantSplit/>
        </w:trPr>
        <w:tc>
          <w:tcPr>
            <w:tcW w:type="dxa" w:w="1020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8"/>
              </w:rPr>
              <w:t>30-09</w:t>
            </w:r>
          </w:p>
        </w:tc>
        <w:tc>
          <w:tcPr>
            <w:tcW w:type="dxa" w:w="6803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Gemini apagado: el asistente usa solo GPT</w:t>
            </w:r>
          </w:p>
        </w:tc>
        <w:tc>
          <w:tcPr>
            <w:tcW w:type="dxa" w:w="2149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HU-12</w:t>
            </w:r>
          </w:p>
        </w:tc>
      </w:tr>
      <w:tr>
        <w:trPr>
          <w:cantSplit/>
        </w:trPr>
        <w:tc>
          <w:tcPr>
            <w:tcW w:type="dxa" w:w="1020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30-09</w:t>
            </w:r>
          </w:p>
        </w:tc>
        <w:tc>
          <w:tcPr>
            <w:tcW w:type="dxa" w:w="6803"/>
            <w:vAlign w:val="top"/>
          </w:tcPr>
          <w:p>
            <w:pPr>
              <w:spacing w:after="0"/>
            </w:pPr>
            <w:r>
              <w:rPr>
                <w:sz w:val="18"/>
              </w:rPr>
              <w:t>La clave de OpenAI es de cada CRM: la gerencia la pega en el chat y se guarda cifrada en Vault</w:t>
            </w:r>
          </w:p>
        </w:tc>
        <w:tc>
          <w:tcPr>
            <w:tcW w:type="dxa" w:w="2149"/>
            <w:vAlign w:val="top"/>
          </w:tcPr>
          <w:p>
            <w:pPr>
              <w:spacing w:after="0"/>
            </w:pPr>
            <w:r>
              <w:rPr>
                <w:sz w:val="18"/>
              </w:rPr>
              <w:t>HU-13</w:t>
            </w:r>
          </w:p>
        </w:tc>
      </w:tr>
      <w:tr>
        <w:trPr>
          <w:cantSplit/>
        </w:trPr>
        <w:tc>
          <w:tcPr>
            <w:tcW w:type="dxa" w:w="1020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8"/>
              </w:rPr>
              <w:t>30-09</w:t>
            </w:r>
          </w:p>
        </w:tc>
        <w:tc>
          <w:tcPr>
            <w:tcW w:type="dxa" w:w="6803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Demo pública genérica: sin nombres, productos ni servicios de la empresa piloto</w:t>
            </w:r>
          </w:p>
        </w:tc>
        <w:tc>
          <w:tcPr>
            <w:tcW w:type="dxa" w:w="2149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HU-15</w:t>
            </w:r>
          </w:p>
        </w:tc>
      </w:tr>
      <w:tr>
        <w:trPr>
          <w:cantSplit/>
        </w:trPr>
        <w:tc>
          <w:tcPr>
            <w:tcW w:type="dxa" w:w="1020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30-09</w:t>
            </w:r>
          </w:p>
        </w:tc>
        <w:tc>
          <w:tcPr>
            <w:tcW w:type="dxa" w:w="6803"/>
            <w:vAlign w:val="top"/>
          </w:tcPr>
          <w:p>
            <w:pPr>
              <w:spacing w:after="0"/>
            </w:pPr>
            <w:r>
              <w:rPr>
                <w:sz w:val="18"/>
              </w:rPr>
              <w:t>Pruebas de fuga de contraseñas: incluyen las contraseñas de desarrollo vigentes</w:t>
            </w:r>
          </w:p>
        </w:tc>
        <w:tc>
          <w:tcPr>
            <w:tcW w:type="dxa" w:w="2149"/>
            <w:vAlign w:val="top"/>
          </w:tcPr>
          <w:p>
            <w:pPr>
              <w:spacing w:after="0"/>
            </w:pPr>
            <w:r>
              <w:rPr>
                <w:sz w:val="18"/>
              </w:rPr>
              <w:t>Calidad</w:t>
            </w:r>
          </w:p>
        </w:tc>
      </w:tr>
      <w:tr>
        <w:trPr>
          <w:cantSplit/>
        </w:trPr>
        <w:tc>
          <w:tcPr>
            <w:tcW w:type="dxa" w:w="1020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8"/>
              </w:rPr>
              <w:t>30-09</w:t>
            </w:r>
          </w:p>
        </w:tc>
        <w:tc>
          <w:tcPr>
            <w:tcW w:type="dxa" w:w="6803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Evidencias regeneradas con la demo pública de Revela</w:t>
            </w:r>
          </w:p>
        </w:tc>
        <w:tc>
          <w:tcPr>
            <w:tcW w:type="dxa" w:w="2149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Documentación</w:t>
            </w:r>
          </w:p>
        </w:tc>
      </w:tr>
    </w:tbl>
    <w:p>
      <w:pPr>
        <w:spacing w:after="0" w:before="0" w:line="120" w:lineRule="exact"/>
      </w:pPr>
      <w:r>
        <w:rPr>
          <w:sz w:val="12"/>
        </w:rPr>
      </w:r>
    </w:p>
    <w:p>
      <w:pPr>
        <w:pStyle w:val="Heading1"/>
      </w:pPr>
      <w:r>
        <w:t>3. Iteración actual (5): tablero</w:t>
      </w:r>
    </w:p>
    <w:p>
      <w:r>
        <w:rPr>
          <w:b/>
        </w:rPr>
        <w:t>Meta:</w:t>
      </w:r>
      <w:r>
        <w:t xml:space="preserve"> dejar el repositorio y la documentación listos para evaluar. </w:t>
      </w:r>
      <w:r>
        <w:rPr>
          <w:b/>
        </w:rPr>
        <w:t>Período:</w:t>
      </w:r>
      <w:r>
        <w:t xml:space="preserve"> 30-09 al 06-10-2026.</w:t>
      </w:r>
    </w:p>
    <w:tbl>
      <w:tblPr>
        <w:tblW w:type="dxa" w:w="9972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7937"/>
        <w:gridCol w:w="2035"/>
      </w:tblGrid>
      <w:tr>
        <w:trPr>
          <w:cantSplit/>
          <w:tblHeader/>
        </w:trPr>
        <w:tc>
          <w:tcPr>
            <w:tcW w:type="dxa" w:w="7937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Entregable</w:t>
            </w:r>
          </w:p>
        </w:tc>
        <w:tc>
          <w:tcPr>
            <w:tcW w:type="dxa" w:w="2035"/>
            <w:shd w:val="clear" w:color="auto" w:fill="3730A3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Estado</w:t>
            </w:r>
          </w:p>
        </w:tc>
      </w:tr>
      <w:tr>
        <w:trPr>
          <w:cantSplit/>
        </w:trPr>
        <w:tc>
          <w:tcPr>
            <w:tcW w:type="dxa" w:w="7937"/>
            <w:vAlign w:val="top"/>
          </w:tcPr>
          <w:p>
            <w:pPr>
              <w:spacing w:after="0"/>
            </w:pPr>
            <w:r>
              <w:rPr>
                <w:sz w:val="18"/>
              </w:rPr>
              <w:t>README con los 7 elementos y estructura de carpetas de la asignatura</w:t>
            </w:r>
          </w:p>
        </w:tc>
        <w:tc>
          <w:tcPr>
            <w:tcW w:type="dxa" w:w="2035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8"/>
              </w:rPr>
              <w:t>Hecho</w:t>
            </w:r>
          </w:p>
        </w:tc>
      </w:tr>
      <w:tr>
        <w:trPr>
          <w:cantSplit/>
        </w:trPr>
        <w:tc>
          <w:tcPr>
            <w:tcW w:type="dxa" w:w="7937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Documentación obligatoria: arquitectura, modelo de datos, UML, requisitos no funcionales, pruebas e innovación</w:t>
            </w:r>
          </w:p>
        </w:tc>
        <w:tc>
          <w:tcPr>
            <w:tcW w:type="dxa" w:w="2035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8"/>
              </w:rPr>
              <w:t>Hecho</w:t>
            </w:r>
          </w:p>
        </w:tc>
      </w:tr>
      <w:tr>
        <w:trPr>
          <w:cantSplit/>
        </w:trPr>
        <w:tc>
          <w:tcPr>
            <w:tcW w:type="dxa" w:w="7937"/>
            <w:vAlign w:val="top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D174D"/>
                <w:sz w:val="17"/>
              </w:rPr>
              <w:t>Dockerfile</w:t>
            </w:r>
            <w:r>
              <w:rPr>
                <w:sz w:val="18"/>
              </w:rPr>
              <w:t xml:space="preserve"> y </w:t>
            </w:r>
            <w:r>
              <w:rPr>
                <w:rFonts w:ascii="Consolas" w:hAnsi="Consolas" w:eastAsia="Consolas"/>
                <w:color w:val="9D174D"/>
                <w:sz w:val="17"/>
              </w:rPr>
              <w:t>docker-compose.yml</w:t>
            </w:r>
            <w:r>
              <w:rPr>
                <w:sz w:val="18"/>
              </w:rPr>
              <w:t xml:space="preserve"> (la imagen aún no se construyó en el equipo de desarrollo)</w:t>
            </w:r>
          </w:p>
        </w:tc>
        <w:tc>
          <w:tcPr>
            <w:tcW w:type="dxa" w:w="2035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8"/>
              </w:rPr>
              <w:t>Hecho</w:t>
            </w:r>
          </w:p>
        </w:tc>
      </w:tr>
      <w:tr>
        <w:trPr>
          <w:cantSplit/>
        </w:trPr>
        <w:tc>
          <w:tcPr>
            <w:tcW w:type="dxa" w:w="7937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Prueba de rendimiento (</w:t>
            </w:r>
            <w:r>
              <w:rPr>
                <w:rFonts w:ascii="Consolas" w:hAnsi="Consolas" w:eastAsia="Consolas"/>
                <w:color w:val="9D174D"/>
                <w:sz w:val="17"/>
              </w:rPr>
              <w:t>npm run test:rendimiento</w:t>
            </w:r>
            <w:r>
              <w:rPr>
                <w:sz w:val="18"/>
              </w:rPr>
              <w:t>)</w:t>
            </w:r>
          </w:p>
        </w:tc>
        <w:tc>
          <w:tcPr>
            <w:tcW w:type="dxa" w:w="2035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8"/>
              </w:rPr>
              <w:t>Hecho</w:t>
            </w:r>
          </w:p>
        </w:tc>
      </w:tr>
      <w:tr>
        <w:trPr>
          <w:cantSplit/>
        </w:trPr>
        <w:tc>
          <w:tcPr>
            <w:tcW w:type="dxa" w:w="7937"/>
            <w:vAlign w:val="top"/>
          </w:tcPr>
          <w:p>
            <w:pPr>
              <w:spacing w:after="0"/>
            </w:pPr>
            <w:r>
              <w:rPr>
                <w:sz w:val="18"/>
              </w:rPr>
              <w:t>Documentos de metodología en Word (clase del 06-10)</w:t>
            </w:r>
          </w:p>
        </w:tc>
        <w:tc>
          <w:tcPr>
            <w:tcW w:type="dxa" w:w="2035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8"/>
              </w:rPr>
              <w:t>Hecho</w:t>
            </w:r>
          </w:p>
        </w:tc>
      </w:tr>
      <w:tr>
        <w:trPr>
          <w:cantSplit/>
        </w:trPr>
        <w:tc>
          <w:tcPr>
            <w:tcW w:type="dxa" w:w="7937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Evidencias de la Fase 1: 1.3 Autoevaluación, 1.4 Formativa, 1.5 Guía de definición y presentación del proyecto</w:t>
            </w:r>
          </w:p>
        </w:tc>
        <w:tc>
          <w:tcPr>
            <w:tcW w:type="dxa" w:w="2035"/>
            <w:vAlign w:val="top"/>
            <w:shd w:val="clear" w:color="auto" w:fill="DBEAFE"/>
          </w:tcPr>
          <w:p>
            <w:pPr>
              <w:spacing w:after="0"/>
              <w:jc w:val="center"/>
            </w:pPr>
            <w:r>
              <w:rPr>
                <w:b/>
                <w:color w:val="1E40AF"/>
                <w:sz w:val="18"/>
              </w:rPr>
              <w:t>En curso</w:t>
            </w:r>
          </w:p>
        </w:tc>
      </w:tr>
      <w:tr>
        <w:trPr>
          <w:cantSplit/>
        </w:trPr>
        <w:tc>
          <w:tcPr>
            <w:tcW w:type="dxa" w:w="7937"/>
            <w:vAlign w:val="top"/>
          </w:tcPr>
          <w:p>
            <w:pPr>
              <w:spacing w:after="0"/>
            </w:pPr>
            <w:r>
              <w:rPr>
                <w:sz w:val="18"/>
              </w:rPr>
              <w:t>Construir la imagen Docker en un equipo con Docker</w:t>
            </w:r>
          </w:p>
        </w:tc>
        <w:tc>
          <w:tcPr>
            <w:tcW w:type="dxa" w:w="2035"/>
            <w:vAlign w:val="top"/>
            <w:shd w:val="clear" w:color="auto" w:fill="FEF3C7"/>
          </w:tcPr>
          <w:p>
            <w:pPr>
              <w:spacing w:after="0"/>
              <w:jc w:val="center"/>
            </w:pPr>
            <w:r>
              <w:rPr>
                <w:b/>
                <w:color w:val="92400E"/>
                <w:sz w:val="18"/>
              </w:rPr>
              <w:t>Pendiente</w:t>
            </w:r>
          </w:p>
        </w:tc>
      </w:tr>
      <w:tr>
        <w:trPr>
          <w:cantSplit/>
        </w:trPr>
        <w:tc>
          <w:tcPr>
            <w:tcW w:type="dxa" w:w="7937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Retrospectiva de la iteración 5 (al cierre, 06-10-2026)</w:t>
            </w:r>
          </w:p>
        </w:tc>
        <w:tc>
          <w:tcPr>
            <w:tcW w:type="dxa" w:w="2035"/>
            <w:vAlign w:val="top"/>
            <w:shd w:val="clear" w:color="auto" w:fill="FEF3C7"/>
          </w:tcPr>
          <w:p>
            <w:pPr>
              <w:spacing w:after="0"/>
              <w:jc w:val="center"/>
            </w:pPr>
            <w:r>
              <w:rPr>
                <w:b/>
                <w:color w:val="92400E"/>
                <w:sz w:val="18"/>
              </w:rPr>
              <w:t>Pendiente</w:t>
            </w:r>
          </w:p>
        </w:tc>
      </w:tr>
    </w:tbl>
    <w:p>
      <w:pPr>
        <w:spacing w:after="0" w:before="0" w:line="120" w:lineRule="exact"/>
      </w:pPr>
      <w:r>
        <w:rPr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134" w:bottom="1020" w:left="1134" w:header="51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lear" w:pos="4680"/>
        <w:tab w:val="clear" w:pos="9360"/>
        <w:tab w:val="right" w:pos="9972"/>
      </w:tabs>
    </w:pPr>
    <w:r/>
    <w:r>
      <w:rPr>
        <w:color w:val="475569"/>
        <w:sz w:val="17"/>
      </w:rPr>
      <w:t>Revela · Duoc UC · CAPSTONE APT122 · REV-04</w:t>
    </w:r>
    <w:r>
      <w:rPr>
        <w:color w:val="475569"/>
        <w:sz w:val="17"/>
      </w:rPr>
      <w:tab/>
      <w:t xml:space="preserve">Página </w:t>
    </w:r>
    <w:r>
      <w:rPr>
        <w:color w:val="475569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color w:val="475569"/>
        <w:sz w:val="17"/>
      </w:rPr>
      <w:t xml:space="preserve"> de </w:t>
    </w:r>
    <w:r>
      <w:rPr>
        <w:color w:val="475569"/>
        <w:sz w:val="17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space="4" w:color="CBD5E1"/>
      </w:pBdr>
    </w:pPr>
    <w:r/>
    <w:r>
      <w:rPr>
        <w:color w:val="475569"/>
        <w:sz w:val="17"/>
      </w:rPr>
      <w:t>Revela · Sprint Backlog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i w:val="0"/>
      <w:color w:val="3730A3"/>
      <w:sz w:val="29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6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i w:val="0"/>
      <w:color w:val="3730A3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i w:val="0"/>
      <w:color w:val="475569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libri" w:hAnsi="Calibr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REV-04</dc:title>
  <dc:subject/>
  <dc:creator>Yair Hamir Costa Pérez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es-CL</dc:language>
</cp:coreProperties>
</file>