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972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133"/>
        <w:gridCol w:w="8838"/>
      </w:tblGrid>
      <w:tr>
        <w:tc>
          <w:tcPr>
            <w:tcW w:type="dxa" w:w="1134"/>
            <w:vAlign w:val="center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76000" cy="57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" cy="57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838"/>
            <w:vAlign w:val="center"/>
          </w:tcPr>
          <w:p>
            <w:pPr>
              <w:spacing w:after="0"/>
            </w:pPr>
            <w:r>
              <w:rPr>
                <w:b/>
                <w:color w:val="3730A3"/>
                <w:sz w:val="44"/>
              </w:rPr>
              <w:t>Retrospectivas</w:t>
            </w:r>
          </w:p>
          <w:p>
            <w:pPr>
              <w:spacing w:after="0"/>
            </w:pPr>
            <w:r>
              <w:rPr>
                <w:color w:val="475569"/>
                <w:sz w:val="22"/>
              </w:rPr>
              <w:t>Qué mejoró el proceso en cada iteración</w:t>
            </w:r>
          </w:p>
        </w:tc>
      </w:tr>
    </w:tbl>
    <w:p>
      <w:pPr>
        <w:spacing w:after="120" w:before="40"/>
        <w:pBdr>
          <w:bottom w:val="single" w:sz="12" w:space="1" w:color="E11D48"/>
        </w:pBdr>
      </w:pP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1757"/>
        <w:gridCol w:w="3231"/>
        <w:gridCol w:w="1700"/>
        <w:gridCol w:w="3282"/>
      </w:tblGrid>
      <w:tr>
        <w:trPr>
          <w:cantSplit/>
        </w:trPr>
        <w:tc>
          <w:tcPr>
            <w:tcW w:type="dxa" w:w="1757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Proyecto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9"/>
              </w:rPr>
              <w:t>Revela (ex GeoCRM)</w:t>
            </w:r>
          </w:p>
        </w:tc>
        <w:tc>
          <w:tcPr>
            <w:tcW w:type="dxa" w:w="1701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Autor</w:t>
            </w:r>
          </w:p>
        </w:tc>
        <w:tc>
          <w:tcPr>
            <w:tcW w:type="dxa" w:w="3283"/>
          </w:tcPr>
          <w:p>
            <w:pPr>
              <w:spacing w:after="0"/>
            </w:pPr>
            <w:r>
              <w:rPr>
                <w:sz w:val="19"/>
              </w:rPr>
              <w:t>Yair Hamir Costa Pérez</w:t>
            </w:r>
          </w:p>
        </w:tc>
      </w:tr>
      <w:tr>
        <w:trPr>
          <w:cantSplit/>
        </w:trPr>
        <w:tc>
          <w:tcPr>
            <w:tcW w:type="dxa" w:w="1757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Código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9"/>
              </w:rPr>
              <w:t>REV-06</w:t>
            </w:r>
          </w:p>
        </w:tc>
        <w:tc>
          <w:tcPr>
            <w:tcW w:type="dxa" w:w="1701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Asignatura</w:t>
            </w:r>
          </w:p>
        </w:tc>
        <w:tc>
          <w:tcPr>
            <w:tcW w:type="dxa" w:w="3283"/>
          </w:tcPr>
          <w:p>
            <w:pPr>
              <w:spacing w:after="0"/>
            </w:pPr>
            <w:r>
              <w:rPr>
                <w:sz w:val="19"/>
              </w:rPr>
              <w:t>CAPSTONE (APT122) · sección 003D</w:t>
            </w:r>
          </w:p>
        </w:tc>
      </w:tr>
      <w:tr>
        <w:trPr>
          <w:cantSplit/>
        </w:trPr>
        <w:tc>
          <w:tcPr>
            <w:tcW w:type="dxa" w:w="1757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Versión / fecha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9"/>
              </w:rPr>
              <w:t>1.0 · 01-10-2026</w:t>
            </w:r>
          </w:p>
        </w:tc>
        <w:tc>
          <w:tcPr>
            <w:tcW w:type="dxa" w:w="1701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Institución</w:t>
            </w:r>
          </w:p>
        </w:tc>
        <w:tc>
          <w:tcPr>
            <w:tcW w:type="dxa" w:w="3283"/>
          </w:tcPr>
          <w:p>
            <w:pPr>
              <w:spacing w:after="0"/>
            </w:pPr>
            <w:r>
              <w:rPr>
                <w:sz w:val="19"/>
              </w:rPr>
              <w:t>Duoc UC · Sede Antonio Varas</w:t>
            </w:r>
          </w:p>
        </w:tc>
      </w:tr>
      <w:tr>
        <w:trPr>
          <w:cantSplit/>
        </w:trPr>
        <w:tc>
          <w:tcPr>
            <w:tcW w:type="dxa" w:w="1757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Estado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9"/>
              </w:rPr>
              <w:t>Versión para revisión</w:t>
            </w:r>
          </w:p>
        </w:tc>
        <w:tc>
          <w:tcPr>
            <w:tcW w:type="dxa" w:w="1701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Docente</w:t>
            </w:r>
          </w:p>
        </w:tc>
        <w:tc>
          <w:tcPr>
            <w:tcW w:type="dxa" w:w="3283"/>
          </w:tcPr>
          <w:p>
            <w:pPr>
              <w:spacing w:after="0"/>
            </w:pPr>
            <w:r>
              <w:rPr>
                <w:sz w:val="19"/>
              </w:rPr>
              <w:t>Rocío Contreras</w:t>
            </w:r>
          </w:p>
        </w:tc>
      </w:tr>
    </w:tbl>
    <w:p>
      <w:pPr>
        <w:spacing w:after="0" w:before="0" w:line="80" w:lineRule="exact"/>
      </w:pPr>
      <w:r>
        <w:rPr>
          <w:sz w:val="8"/>
        </w:rPr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6" w:space="0" w:color="C2410C"/>
          <w:left w:val="single" w:sz="6" w:space="0" w:color="C2410C"/>
          <w:bottom w:val="single" w:sz="6" w:space="0" w:color="C2410C"/>
          <w:right w:val="single" w:sz="6" w:space="0" w:color="C2410C"/>
          <w:insideH w:val="single" w:sz="6" w:space="0" w:color="C2410C"/>
          <w:insideV w:val="single" w:sz="6" w:space="0" w:color="C2410C"/>
        </w:tblBorders>
        <w:tblCellMar>
          <w:top w:w="100" w:type="dxa"/>
          <w:left w:w="160" w:type="dxa"/>
          <w:bottom w:w="100" w:type="dxa"/>
          <w:right w:w="160" w:type="dxa"/>
        </w:tblCellMar>
        <w:tblLayout w:type="fixed"/>
      </w:tblPr>
      <w:tblGrid>
        <w:gridCol w:w="9972"/>
      </w:tblGrid>
      <w:tr>
        <w:trPr>
          <w:cantSplit/>
        </w:trPr>
        <w:tc>
          <w:tcPr>
            <w:tcW w:type="dxa" w:w="9972"/>
            <w:shd w:val="clear" w:color="auto" w:fill="FFF7ED"/>
          </w:tcPr>
          <w:p>
            <w:pPr>
              <w:spacing w:after="40"/>
            </w:pPr>
            <w:r>
              <w:rPr>
                <w:b/>
                <w:color w:val="C2410C"/>
                <w:sz w:val="18"/>
              </w:rPr>
              <w:t>Nota de transparencia</w:t>
            </w:r>
          </w:p>
          <w:p>
            <w:pPr>
              <w:spacing w:after="0"/>
            </w:pPr>
            <w:r>
              <w:rPr>
                <w:sz w:val="21"/>
              </w:rPr>
              <w:t>Las retrospectivas de las iteraciones 2 a 4 se redactaron el 01-10-2026 a partir del historial de Git y de los documentos del proyecto. Los hechos y las mejoras son reales y cada mejora se incorporó al proceso o al código, pero no se registraron en una reunión al cierre de cada iteración. La iteración 1 reúne el trabajo previo al primer commit y no tiene retrospectiva propia. La iteración 5 se completa al cerrarla (06-10-2026).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r>
        <w:rPr>
          <w:b/>
          <w:sz w:val="20"/>
        </w:rPr>
        <w:t>Formato:</w:t>
      </w:r>
      <w:r>
        <w:rPr>
          <w:sz w:val="20"/>
        </w:rPr>
        <w:t xml:space="preserve"> qué pasó, cuál fue la causa y qué se mejoró; más lo que funcionó bien.</w:t>
      </w:r>
    </w:p>
    <w:p>
      <w:pPr>
        <w:pStyle w:val="Heading1"/>
      </w:pPr>
      <w:r>
        <w:t>Iteración 2 · 26-09-2026 · Base de datos real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3174"/>
        <w:gridCol w:w="3061"/>
        <w:gridCol w:w="3736"/>
      </w:tblGrid>
      <w:tr>
        <w:trPr>
          <w:cantSplit/>
          <w:tblHeader/>
        </w:trPr>
        <w:tc>
          <w:tcPr>
            <w:tcW w:type="dxa" w:w="3175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Qué pasó</w:t>
            </w:r>
          </w:p>
        </w:tc>
        <w:tc>
          <w:tcPr>
            <w:tcW w:type="dxa" w:w="3061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Causa</w:t>
            </w:r>
          </w:p>
        </w:tc>
        <w:tc>
          <w:tcPr>
            <w:tcW w:type="dxa" w:w="3736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Qué mejoró</w:t>
            </w:r>
          </w:p>
        </w:tc>
      </w:tr>
      <w:tr>
        <w:trPr>
          <w:cantSplit/>
        </w:trPr>
        <w:tc>
          <w:tcPr>
            <w:tcW w:type="dxa" w:w="3175"/>
            <w:vAlign w:val="top"/>
          </w:tcPr>
          <w:p>
            <w:pPr>
              <w:keepNext/>
              <w:spacing w:after="0"/>
            </w:pPr>
            <w:r>
              <w:rPr>
                <w:sz w:val="17"/>
              </w:rPr>
              <w:t xml:space="preserve">Las </w:t>
            </w:r>
            <w:r>
              <w:rPr>
                <w:b/>
                <w:sz w:val="17"/>
              </w:rPr>
              <w:t>invitaciones de usuarios fallaban</w:t>
            </w:r>
            <w:r>
              <w:rPr>
                <w:sz w:val="17"/>
              </w:rPr>
              <w:t xml:space="preserve"> al conectar con Supabase</w:t>
            </w:r>
          </w:p>
        </w:tc>
        <w:tc>
          <w:tcPr>
            <w:tcW w:type="dxa" w:w="3061"/>
            <w:vAlign w:val="top"/>
          </w:tcPr>
          <w:p>
            <w:pPr>
              <w:keepNext/>
              <w:spacing w:after="0"/>
            </w:pPr>
            <w:r>
              <w:rPr>
                <w:sz w:val="17"/>
              </w:rPr>
              <w:t>Faltaban permisos de las tablas para la clave de servicio; la revisión local no lo podía ver</w:t>
            </w:r>
          </w:p>
        </w:tc>
        <w:tc>
          <w:tcPr>
            <w:tcW w:type="dxa" w:w="3736"/>
            <w:vAlign w:val="top"/>
          </w:tcPr>
          <w:p>
            <w:pPr>
              <w:keepNext/>
              <w:spacing w:after="0"/>
            </w:pPr>
            <w:r>
              <w:rPr>
                <w:sz w:val="17"/>
              </w:rPr>
              <w:t xml:space="preserve">Migración 0016 y </w:t>
            </w:r>
            <w:r>
              <w:rPr>
                <w:b/>
                <w:sz w:val="17"/>
              </w:rPr>
              <w:t>regla nueva</w:t>
            </w:r>
            <w:r>
              <w:rPr>
                <w:sz w:val="17"/>
              </w:rPr>
              <w:t xml:space="preserve">: toda tabla lleva permisos explícitos para </w:t>
            </w:r>
            <w:r>
              <w:rPr>
                <w:rFonts w:ascii="Consolas" w:hAnsi="Consolas" w:eastAsia="Consolas"/>
                <w:color w:val="9D174D"/>
                <w:sz w:val="16"/>
              </w:rPr>
              <w:t>authenticated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 w:eastAsia="Consolas"/>
                <w:color w:val="9D174D"/>
                <w:sz w:val="16"/>
              </w:rPr>
              <w:t>service_role</w:t>
            </w:r>
          </w:p>
        </w:tc>
      </w:tr>
      <w:tr>
        <w:trPr>
          <w:cantSplit/>
        </w:trPr>
        <w:tc>
          <w:tcPr>
            <w:tcW w:type="dxa" w:w="3175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7"/>
              </w:rPr>
              <w:t>Un lead con solicitud del titular (25-09) se podía seguir moviendo</w:t>
            </w:r>
          </w:p>
        </w:tc>
        <w:tc>
          <w:tcPr>
            <w:tcW w:type="dxa" w:w="3061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7"/>
              </w:rPr>
              <w:t>El bloqueo existía solo en pantalla</w:t>
            </w:r>
          </w:p>
        </w:tc>
        <w:tc>
          <w:tcPr>
            <w:tcW w:type="dxa" w:w="3736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7"/>
              </w:rPr>
              <w:t xml:space="preserve">El bloqueo pasó a los </w:t>
            </w:r>
            <w:r>
              <w:rPr>
                <w:i/>
                <w:sz w:val="17"/>
              </w:rPr>
              <w:t>guards</w:t>
            </w:r>
            <w:r>
              <w:rPr>
                <w:sz w:val="17"/>
              </w:rPr>
              <w:t xml:space="preserve"> y, después, a la base</w:t>
            </w:r>
          </w:p>
        </w:tc>
      </w:tr>
      <w:tr>
        <w:trPr>
          <w:cantSplit/>
        </w:trPr>
        <w:tc>
          <w:tcPr>
            <w:tcW w:type="dxa" w:w="3175"/>
            <w:vAlign w:val="top"/>
          </w:tcPr>
          <w:p>
            <w:pPr>
              <w:spacing w:after="0"/>
            </w:pPr>
            <w:r>
              <w:rPr>
                <w:sz w:val="17"/>
              </w:rPr>
              <w:t>El lint contra la base encontró un error que la revisión local no veía (la exportación)</w:t>
            </w:r>
          </w:p>
        </w:tc>
        <w:tc>
          <w:tcPr>
            <w:tcW w:type="dxa" w:w="3061"/>
            <w:vAlign w:val="top"/>
          </w:tcPr>
          <w:p>
            <w:pPr>
              <w:spacing w:after="0"/>
            </w:pPr>
            <w:r>
              <w:rPr>
                <w:sz w:val="17"/>
              </w:rPr>
              <w:t>Una función con una columna inexistente</w:t>
            </w:r>
          </w:p>
        </w:tc>
        <w:tc>
          <w:tcPr>
            <w:tcW w:type="dxa" w:w="3736"/>
            <w:vAlign w:val="top"/>
          </w:tcPr>
          <w:p>
            <w:pPr>
              <w:spacing w:after="0"/>
            </w:pPr>
            <w:r>
              <w:rPr>
                <w:sz w:val="17"/>
              </w:rPr>
              <w:t xml:space="preserve">Migración 0013 y </w:t>
            </w:r>
            <w:r>
              <w:rPr>
                <w:b/>
                <w:sz w:val="17"/>
              </w:rPr>
              <w:t>hábito nuevo</w:t>
            </w:r>
            <w:r>
              <w:rPr>
                <w:sz w:val="17"/>
              </w:rPr>
              <w:t xml:space="preserve">: después de aplicar una migración se corre </w:t>
            </w:r>
            <w:r>
              <w:rPr>
                <w:rFonts w:ascii="Consolas" w:hAnsi="Consolas" w:eastAsia="Consolas"/>
                <w:color w:val="9D174D"/>
                <w:sz w:val="16"/>
              </w:rPr>
              <w:t>db lint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 w:eastAsia="Consolas"/>
                <w:color w:val="9D174D"/>
                <w:sz w:val="16"/>
              </w:rPr>
              <w:t>test:db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r>
        <w:rPr>
          <w:b/>
          <w:sz w:val="20"/>
        </w:rPr>
        <w:t>Funcionó bien:</w:t>
      </w:r>
      <w:r>
        <w:rPr>
          <w:sz w:val="20"/>
        </w:rPr>
        <w:t xml:space="preserve"> probar contra la base real descubrió dos errores antes de que llegaran a un usuario.</w:t>
      </w:r>
    </w:p>
    <w:p>
      <w:pPr>
        <w:pStyle w:val="Heading1"/>
      </w:pPr>
      <w:r>
        <w:t>Iteración 3 · 27-09-2026 · Publicación y seguridad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3174"/>
        <w:gridCol w:w="3061"/>
        <w:gridCol w:w="3736"/>
      </w:tblGrid>
      <w:tr>
        <w:trPr>
          <w:cantSplit/>
          <w:tblHeader/>
        </w:trPr>
        <w:tc>
          <w:tcPr>
            <w:tcW w:type="dxa" w:w="3175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Qué pasó</w:t>
            </w:r>
          </w:p>
        </w:tc>
        <w:tc>
          <w:tcPr>
            <w:tcW w:type="dxa" w:w="3061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Causa</w:t>
            </w:r>
          </w:p>
        </w:tc>
        <w:tc>
          <w:tcPr>
            <w:tcW w:type="dxa" w:w="3736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Qué mejoró</w:t>
            </w:r>
          </w:p>
        </w:tc>
      </w:tr>
      <w:tr>
        <w:trPr>
          <w:cantSplit/>
        </w:trPr>
        <w:tc>
          <w:tcPr>
            <w:tcW w:type="dxa" w:w="3175"/>
            <w:vAlign w:val="top"/>
          </w:tcPr>
          <w:p>
            <w:pPr>
              <w:keepNext/>
              <w:spacing w:after="0"/>
            </w:pPr>
            <w:r>
              <w:rPr>
                <w:sz w:val="17"/>
              </w:rPr>
              <w:t xml:space="preserve">La revisión de seguridad de la app publicada encontró hallazgos (B1 a B11); el más grave: el asistente </w:t>
            </w:r>
            <w:r>
              <w:rPr>
                <w:b/>
                <w:sz w:val="17"/>
              </w:rPr>
              <w:t>no pedía sesión</w:t>
            </w:r>
            <w:r>
              <w:rPr>
                <w:sz w:val="17"/>
              </w:rPr>
              <w:t xml:space="preserve"> y cualquiera en internet podía usar las claves del servidor</w:t>
            </w:r>
          </w:p>
        </w:tc>
        <w:tc>
          <w:tcPr>
            <w:tcW w:type="dxa" w:w="3061"/>
            <w:vAlign w:val="top"/>
          </w:tcPr>
          <w:p>
            <w:pPr>
              <w:keepNext/>
              <w:spacing w:after="0"/>
            </w:pPr>
            <w:r>
              <w:rPr>
                <w:sz w:val="17"/>
              </w:rPr>
              <w:t>La API se diseñó primero para el desarrollo local</w:t>
            </w:r>
          </w:p>
        </w:tc>
        <w:tc>
          <w:tcPr>
            <w:tcW w:type="dxa" w:w="3736"/>
            <w:vAlign w:val="top"/>
          </w:tcPr>
          <w:p>
            <w:pPr>
              <w:keepNext/>
              <w:spacing w:after="0"/>
            </w:pPr>
            <w:r>
              <w:rPr>
                <w:sz w:val="17"/>
              </w:rPr>
              <w:t>El asistente exige sesión de un CRM publicado; se agregó la CSP y las reglas por perfil en la base (migración 0022)</w:t>
            </w:r>
          </w:p>
        </w:tc>
      </w:tr>
      <w:tr>
        <w:trPr>
          <w:cantSplit/>
        </w:trPr>
        <w:tc>
          <w:tcPr>
            <w:tcW w:type="dxa" w:w="3175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7"/>
              </w:rPr>
              <w:t xml:space="preserve">El ataque simulado contra la base real tuvo </w:t>
            </w:r>
            <w:r>
              <w:rPr>
                <w:b/>
                <w:sz w:val="17"/>
              </w:rPr>
              <w:t>12 fallas</w:t>
            </w:r>
          </w:p>
        </w:tc>
        <w:tc>
          <w:tcPr>
            <w:tcW w:type="dxa" w:w="3061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7"/>
              </w:rPr>
              <w:t>Reglas solo en la pantalla, no en la base</w:t>
            </w:r>
          </w:p>
        </w:tc>
        <w:tc>
          <w:tcPr>
            <w:tcW w:type="dxa" w:w="3736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7"/>
              </w:rPr>
              <w:t xml:space="preserve">Las reglas pasaron a la base; la prueba de ataques quedó en </w:t>
            </w:r>
            <w:r>
              <w:rPr>
                <w:rFonts w:ascii="Consolas" w:hAnsi="Consolas" w:eastAsia="Consolas"/>
                <w:color w:val="9D174D"/>
                <w:sz w:val="16"/>
              </w:rPr>
              <w:t>test:db</w:t>
            </w:r>
            <w:r>
              <w:rPr>
                <w:sz w:val="17"/>
              </w:rPr>
              <w:t xml:space="preserve"> y terminó en 0 de 37 fallas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r>
        <w:rPr>
          <w:b/>
          <w:sz w:val="20"/>
        </w:rPr>
        <w:t>Funcionó bien:</w:t>
      </w:r>
      <w:r>
        <w:rPr>
          <w:sz w:val="20"/>
        </w:rPr>
        <w:t xml:space="preserve"> revisar la seguridad antes de abrir la app a usuarios reales evitó que el fallo llegara a producción.</w:t>
      </w:r>
    </w:p>
    <w:p>
      <w:pPr>
        <w:pStyle w:val="Heading1"/>
      </w:pPr>
      <w:r>
        <w:t>Iteración 4 · 30-09-2026 · Asistente con control de costo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3174"/>
        <w:gridCol w:w="3061"/>
        <w:gridCol w:w="3736"/>
      </w:tblGrid>
      <w:tr>
        <w:trPr>
          <w:cantSplit/>
          <w:tblHeader/>
        </w:trPr>
        <w:tc>
          <w:tcPr>
            <w:tcW w:type="dxa" w:w="3175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Qué pasó</w:t>
            </w:r>
          </w:p>
        </w:tc>
        <w:tc>
          <w:tcPr>
            <w:tcW w:type="dxa" w:w="3061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Causa</w:t>
            </w:r>
          </w:p>
        </w:tc>
        <w:tc>
          <w:tcPr>
            <w:tcW w:type="dxa" w:w="3736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Qué mejoró</w:t>
            </w:r>
          </w:p>
        </w:tc>
      </w:tr>
      <w:tr>
        <w:trPr>
          <w:cantSplit/>
        </w:trPr>
        <w:tc>
          <w:tcPr>
            <w:tcW w:type="dxa" w:w="3175"/>
            <w:vAlign w:val="top"/>
          </w:tcPr>
          <w:p>
            <w:pPr>
              <w:keepNext/>
              <w:spacing w:after="0"/>
            </w:pPr>
            <w:r>
              <w:rPr>
                <w:sz w:val="17"/>
              </w:rPr>
              <w:t xml:space="preserve">El registro de cambios de la base </w:t>
            </w:r>
            <w:r>
              <w:rPr>
                <w:b/>
                <w:sz w:val="17"/>
              </w:rPr>
              <w:t>no anotaba</w:t>
            </w:r>
            <w:r>
              <w:rPr>
                <w:sz w:val="17"/>
              </w:rPr>
              <w:t xml:space="preserve"> los cambios hechos por el servidor</w:t>
            </w:r>
          </w:p>
        </w:tc>
        <w:tc>
          <w:tcPr>
            <w:tcW w:type="dxa" w:w="3061"/>
            <w:vAlign w:val="top"/>
          </w:tcPr>
          <w:p>
            <w:pPr>
              <w:keepNext/>
              <w:spacing w:after="0"/>
            </w:pPr>
            <w:r>
              <w:rPr>
                <w:sz w:val="17"/>
              </w:rPr>
              <w:t>El trigger ignoraba las escrituras sin sesión de persona</w:t>
            </w:r>
          </w:p>
        </w:tc>
        <w:tc>
          <w:tcPr>
            <w:tcW w:type="dxa" w:w="3736"/>
            <w:vAlign w:val="top"/>
          </w:tcPr>
          <w:p>
            <w:pPr>
              <w:keepNext/>
              <w:spacing w:after="0"/>
            </w:pPr>
            <w:r>
              <w:rPr>
                <w:sz w:val="17"/>
              </w:rPr>
              <w:t>El cambio de presupuesto y de clave pasó por funciones de la base que escriben el registro a nombre de quien lo hizo</w:t>
            </w:r>
          </w:p>
        </w:tc>
      </w:tr>
      <w:tr>
        <w:trPr>
          <w:cantSplit/>
        </w:trPr>
        <w:tc>
          <w:tcPr>
            <w:tcW w:type="dxa" w:w="3175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7"/>
              </w:rPr>
              <w:t xml:space="preserve">Un campo de presupuesto </w:t>
            </w:r>
            <w:r>
              <w:rPr>
                <w:b/>
                <w:sz w:val="17"/>
              </w:rPr>
              <w:t>vacío se leía como 0</w:t>
            </w:r>
            <w:r>
              <w:rPr>
                <w:sz w:val="17"/>
              </w:rPr>
              <w:t xml:space="preserve"> y habría apagado el asistente sin que nadie lo pidiera</w:t>
            </w:r>
          </w:p>
        </w:tc>
        <w:tc>
          <w:tcPr>
            <w:tcW w:type="dxa" w:w="3061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rFonts w:ascii="Consolas" w:hAnsi="Consolas" w:eastAsia="Consolas"/>
                <w:color w:val="9D174D"/>
                <w:sz w:val="16"/>
              </w:rPr>
              <w:t>Number('')</w:t>
            </w:r>
            <w:r>
              <w:rPr>
                <w:sz w:val="17"/>
              </w:rPr>
              <w:t xml:space="preserve"> es 0</w:t>
            </w:r>
          </w:p>
        </w:tc>
        <w:tc>
          <w:tcPr>
            <w:tcW w:type="dxa" w:w="3736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7"/>
              </w:rPr>
              <w:t>Validación corregida y cubierta por una prueba</w:t>
            </w:r>
          </w:p>
        </w:tc>
      </w:tr>
      <w:tr>
        <w:trPr>
          <w:cantSplit/>
        </w:trPr>
        <w:tc>
          <w:tcPr>
            <w:tcW w:type="dxa" w:w="3175"/>
            <w:vAlign w:val="top"/>
          </w:tcPr>
          <w:p>
            <w:pPr>
              <w:keepNext/>
              <w:spacing w:after="0"/>
            </w:pPr>
            <w:r>
              <w:rPr>
                <w:sz w:val="17"/>
              </w:rPr>
              <w:t>Una sola clave de OpenAI servía a todas las empresas: la gerencia de cualquiera podía gastar la cuenta de otra</w:t>
            </w:r>
          </w:p>
        </w:tc>
        <w:tc>
          <w:tcPr>
            <w:tcW w:type="dxa" w:w="3061"/>
            <w:vAlign w:val="top"/>
          </w:tcPr>
          <w:p>
            <w:pPr>
              <w:keepNext/>
              <w:spacing w:after="0"/>
            </w:pPr>
            <w:r>
              <w:rPr>
                <w:sz w:val="17"/>
              </w:rPr>
              <w:t>Diseño inicial con clave de la plataforma</w:t>
            </w:r>
          </w:p>
        </w:tc>
        <w:tc>
          <w:tcPr>
            <w:tcW w:type="dxa" w:w="3736"/>
            <w:vAlign w:val="top"/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Cada empresa trae su clave</w:t>
            </w:r>
            <w:r>
              <w:rPr>
                <w:sz w:val="17"/>
              </w:rPr>
              <w:t>, cifrada en Vault (migración 0032)</w:t>
            </w:r>
          </w:p>
        </w:tc>
      </w:tr>
      <w:tr>
        <w:trPr>
          <w:cantSplit/>
        </w:trPr>
        <w:tc>
          <w:tcPr>
            <w:tcW w:type="dxa" w:w="3175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7"/>
              </w:rPr>
              <w:t>Dudas sobre si las pruebas de seguridad realmente detectaban fallas</w:t>
            </w:r>
          </w:p>
        </w:tc>
        <w:tc>
          <w:tcPr>
            <w:tcW w:type="dxa" w:w="3061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7"/>
              </w:rPr>
              <w:t>Las pruebas nuevas pasaron a la primera</w:t>
            </w:r>
          </w:p>
        </w:tc>
        <w:tc>
          <w:tcPr>
            <w:tcW w:type="dxa" w:w="3736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b/>
                <w:sz w:val="17"/>
              </w:rPr>
              <w:t>Pruebas de mutación a mano</w:t>
            </w:r>
            <w:r>
              <w:rPr>
                <w:sz w:val="17"/>
              </w:rPr>
              <w:t>: se rompió a propósito la protección y se comprobó que las pruebas fallaban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r>
        <w:rPr>
          <w:b/>
          <w:sz w:val="20"/>
        </w:rPr>
        <w:t>Funcionó bien:</w:t>
      </w:r>
      <w:r>
        <w:rPr>
          <w:sz w:val="20"/>
        </w:rPr>
        <w:t xml:space="preserve"> desconfiar de las pruebas que pasan a la primera y comprobarlas rompiendo el código a propósito.</w:t>
      </w:r>
    </w:p>
    <w:p>
      <w:pPr>
        <w:pStyle w:val="Heading1"/>
      </w:pPr>
      <w:r>
        <w:t>Iteración 5 · 30-09-2026 · Preparar el repositorio para evaluar (parcial)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3174"/>
        <w:gridCol w:w="3061"/>
        <w:gridCol w:w="3736"/>
      </w:tblGrid>
      <w:tr>
        <w:trPr>
          <w:cantSplit/>
          <w:tblHeader/>
        </w:trPr>
        <w:tc>
          <w:tcPr>
            <w:tcW w:type="dxa" w:w="3175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Qué pasó</w:t>
            </w:r>
          </w:p>
        </w:tc>
        <w:tc>
          <w:tcPr>
            <w:tcW w:type="dxa" w:w="3061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Causa</w:t>
            </w:r>
          </w:p>
        </w:tc>
        <w:tc>
          <w:tcPr>
            <w:tcW w:type="dxa" w:w="3736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Qué mejoró</w:t>
            </w:r>
          </w:p>
        </w:tc>
      </w:tr>
      <w:tr>
        <w:trPr>
          <w:cantSplit/>
        </w:trPr>
        <w:tc>
          <w:tcPr>
            <w:tcW w:type="dxa" w:w="3175"/>
            <w:vAlign w:val="top"/>
          </w:tcPr>
          <w:p>
            <w:pPr>
              <w:keepNext/>
              <w:spacing w:after="0"/>
            </w:pPr>
            <w:r>
              <w:rPr>
                <w:sz w:val="17"/>
              </w:rPr>
              <w:t xml:space="preserve">Un escaneo previo a publicar encontró </w:t>
            </w:r>
            <w:r>
              <w:rPr>
                <w:b/>
                <w:sz w:val="17"/>
              </w:rPr>
              <w:t>un nombre real</w:t>
            </w:r>
            <w:r>
              <w:rPr>
                <w:sz w:val="17"/>
              </w:rPr>
              <w:t xml:space="preserve"> en algunas capturas de pantalla</w:t>
            </w:r>
          </w:p>
        </w:tc>
        <w:tc>
          <w:tcPr>
            <w:tcW w:type="dxa" w:w="3061"/>
            <w:vAlign w:val="top"/>
          </w:tcPr>
          <w:p>
            <w:pPr>
              <w:keepNext/>
              <w:spacing w:after="0"/>
            </w:pPr>
            <w:r>
              <w:rPr>
                <w:sz w:val="17"/>
              </w:rPr>
              <w:t>Las capturas se generaron con datos de ejemplo de una versión anterior</w:t>
            </w:r>
          </w:p>
        </w:tc>
        <w:tc>
          <w:tcPr>
            <w:tcW w:type="dxa" w:w="3736"/>
            <w:vAlign w:val="top"/>
          </w:tcPr>
          <w:p>
            <w:pPr>
              <w:keepNext/>
              <w:spacing w:after="0"/>
            </w:pPr>
            <w:r>
              <w:rPr>
                <w:sz w:val="17"/>
              </w:rPr>
              <w:t xml:space="preserve">Se regeneraron con la </w:t>
            </w:r>
            <w:r>
              <w:rPr>
                <w:b/>
                <w:sz w:val="17"/>
              </w:rPr>
              <w:t>demo pública (datos ficticios)</w:t>
            </w:r>
            <w:r>
              <w:rPr>
                <w:sz w:val="17"/>
              </w:rPr>
              <w:t xml:space="preserve"> y se revisó el historial antes de subirlo</w:t>
            </w:r>
          </w:p>
        </w:tc>
      </w:tr>
      <w:tr>
        <w:trPr>
          <w:cantSplit/>
        </w:trPr>
        <w:tc>
          <w:tcPr>
            <w:tcW w:type="dxa" w:w="3175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7"/>
              </w:rPr>
              <w:t xml:space="preserve">La </w:t>
            </w:r>
            <w:r>
              <w:rPr>
                <w:b/>
                <w:sz w:val="17"/>
              </w:rPr>
              <w:t>demo pública</w:t>
            </w:r>
            <w:r>
              <w:rPr>
                <w:sz w:val="17"/>
              </w:rPr>
              <w:t xml:space="preserve"> usaba nombres y productos tomados de la empresa piloto</w:t>
            </w:r>
          </w:p>
        </w:tc>
        <w:tc>
          <w:tcPr>
            <w:tcW w:type="dxa" w:w="3061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7"/>
              </w:rPr>
              <w:t>Los datos de ejemplo se armaron a partir de la empresa con la que se pilotea</w:t>
            </w:r>
          </w:p>
        </w:tc>
        <w:tc>
          <w:tcPr>
            <w:tcW w:type="dxa" w:w="3736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7"/>
              </w:rPr>
              <w:t>Se reemplazaron por datos ficticios, se verificó sobre la app compilada y en producción, y se agregaron a las pruebas de fuga las contraseñas vigentes</w:t>
            </w:r>
          </w:p>
        </w:tc>
      </w:tr>
      <w:tr>
        <w:trPr>
          <w:cantSplit/>
        </w:trPr>
        <w:tc>
          <w:tcPr>
            <w:tcW w:type="dxa" w:w="3175"/>
            <w:vAlign w:val="top"/>
          </w:tcPr>
          <w:p>
            <w:pPr>
              <w:keepNext/>
              <w:spacing w:after="0"/>
            </w:pPr>
            <w:r>
              <w:rPr>
                <w:sz w:val="17"/>
              </w:rPr>
              <w:t>El generador de capturas seguía usando la marca antigua y un panel que la demo pública no tiene</w:t>
            </w:r>
          </w:p>
        </w:tc>
        <w:tc>
          <w:tcPr>
            <w:tcW w:type="dxa" w:w="3061"/>
            <w:vAlign w:val="top"/>
          </w:tcPr>
          <w:p>
            <w:pPr>
              <w:keepNext/>
              <w:spacing w:after="0"/>
            </w:pPr>
            <w:r>
              <w:rPr>
                <w:sz w:val="17"/>
              </w:rPr>
              <w:t>Nadie lo había corrido desde el cambio de nombre</w:t>
            </w:r>
          </w:p>
        </w:tc>
        <w:tc>
          <w:tcPr>
            <w:tcW w:type="dxa" w:w="3736"/>
            <w:vAlign w:val="top"/>
          </w:tcPr>
          <w:p>
            <w:pPr>
              <w:keepNext/>
              <w:spacing w:after="0"/>
            </w:pPr>
            <w:r>
              <w:rPr>
                <w:sz w:val="17"/>
              </w:rPr>
              <w:t>Se corrigió el generador y se verificó cada imagen a ojo antes de aceptarla</w:t>
            </w:r>
          </w:p>
        </w:tc>
      </w:tr>
      <w:tr>
        <w:trPr>
          <w:cantSplit/>
        </w:trPr>
        <w:tc>
          <w:tcPr>
            <w:tcW w:type="dxa" w:w="3175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7"/>
              </w:rPr>
              <w:t>El repositorio de evaluación no mostraba el trabajo real</w:t>
            </w:r>
          </w:p>
        </w:tc>
        <w:tc>
          <w:tcPr>
            <w:tcW w:type="dxa" w:w="3061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7"/>
              </w:rPr>
              <w:t>El código vivía en otro repositorio</w:t>
            </w:r>
          </w:p>
        </w:tc>
        <w:tc>
          <w:tcPr>
            <w:tcW w:type="dxa" w:w="3736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7"/>
              </w:rPr>
              <w:t>El repositorio de evaluación recibe el historial completo de desarrollo y la documentación que pide el instructivo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r>
        <w:rPr>
          <w:b/>
          <w:sz w:val="20"/>
        </w:rPr>
        <w:t>Regla que queda:</w:t>
      </w:r>
      <w:r>
        <w:rPr>
          <w:sz w:val="20"/>
        </w:rPr>
        <w:t xml:space="preserve"> antes de publicar algo nuevo se buscan claves y nombres reales, también en el historial, y se revisan a mano las imágenes.</w:t>
      </w:r>
    </w:p>
    <w:p>
      <w:pPr>
        <w:pStyle w:val="Heading1"/>
      </w:pPr>
      <w:r>
        <w:t>Acciones de mejora incorporadas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5215"/>
        <w:gridCol w:w="4756"/>
      </w:tblGrid>
      <w:tr>
        <w:trPr>
          <w:cantSplit/>
          <w:tblHeader/>
        </w:trPr>
        <w:tc>
          <w:tcPr>
            <w:tcW w:type="dxa" w:w="5216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Acción</w:t>
            </w:r>
          </w:p>
        </w:tc>
        <w:tc>
          <w:tcPr>
            <w:tcW w:type="dxa" w:w="4757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Dónde quedó</w:t>
            </w:r>
          </w:p>
        </w:tc>
      </w:tr>
      <w:tr>
        <w:trPr>
          <w:cantSplit/>
        </w:trPr>
        <w:tc>
          <w:tcPr>
            <w:tcW w:type="dxa" w:w="5216"/>
            <w:vAlign w:val="top"/>
          </w:tcPr>
          <w:p>
            <w:pPr>
              <w:spacing w:after="0"/>
            </w:pPr>
            <w:r>
              <w:rPr>
                <w:sz w:val="18"/>
              </w:rPr>
              <w:t xml:space="preserve">Permisos explícitos por tabla para </w:t>
            </w:r>
            <w:r>
              <w:rPr>
                <w:rFonts w:ascii="Consolas" w:hAnsi="Consolas" w:eastAsia="Consolas"/>
                <w:color w:val="9D174D"/>
                <w:sz w:val="17"/>
              </w:rPr>
              <w:t>authenticated</w:t>
            </w:r>
            <w:r>
              <w:rPr>
                <w:sz w:val="18"/>
              </w:rPr>
              <w:t xml:space="preserve"> y </w:t>
            </w:r>
            <w:r>
              <w:rPr>
                <w:rFonts w:ascii="Consolas" w:hAnsi="Consolas" w:eastAsia="Consolas"/>
                <w:color w:val="9D174D"/>
                <w:sz w:val="17"/>
              </w:rPr>
              <w:t>service_role</w:t>
            </w:r>
          </w:p>
        </w:tc>
        <w:tc>
          <w:tcPr>
            <w:tcW w:type="dxa" w:w="4757"/>
            <w:vAlign w:val="top"/>
          </w:tcPr>
          <w:p>
            <w:pPr>
              <w:spacing w:after="0"/>
            </w:pPr>
            <w:r>
              <w:rPr>
                <w:sz w:val="18"/>
              </w:rPr>
              <w:t>Migración 0016 y convención de tablas</w:t>
            </w:r>
          </w:p>
        </w:tc>
      </w:tr>
      <w:tr>
        <w:trPr>
          <w:cantSplit/>
        </w:trPr>
        <w:tc>
          <w:tcPr>
            <w:tcW w:type="dxa" w:w="5216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 xml:space="preserve">Correr </w:t>
            </w:r>
            <w:r>
              <w:rPr>
                <w:rFonts w:ascii="Consolas" w:hAnsi="Consolas" w:eastAsia="Consolas"/>
                <w:color w:val="9D174D"/>
                <w:sz w:val="17"/>
              </w:rPr>
              <w:t>db lint</w:t>
            </w:r>
            <w:r>
              <w:rPr>
                <w:sz w:val="18"/>
              </w:rPr>
              <w:t xml:space="preserve"> y </w:t>
            </w:r>
            <w:r>
              <w:rPr>
                <w:rFonts w:ascii="Consolas" w:hAnsi="Consolas" w:eastAsia="Consolas"/>
                <w:color w:val="9D174D"/>
                <w:sz w:val="17"/>
              </w:rPr>
              <w:t>test:db</w:t>
            </w:r>
            <w:r>
              <w:rPr>
                <w:sz w:val="18"/>
              </w:rPr>
              <w:t xml:space="preserve"> después de aplicar cada migración</w:t>
            </w:r>
          </w:p>
        </w:tc>
        <w:tc>
          <w:tcPr>
            <w:tcW w:type="dxa" w:w="4757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Definition of Done (REV-05), sección de base de datos</w:t>
            </w:r>
          </w:p>
        </w:tc>
      </w:tr>
      <w:tr>
        <w:trPr>
          <w:cantSplit/>
        </w:trPr>
        <w:tc>
          <w:tcPr>
            <w:tcW w:type="dxa" w:w="5216"/>
            <w:vAlign w:val="top"/>
          </w:tcPr>
          <w:p>
            <w:pPr>
              <w:spacing w:after="0"/>
            </w:pPr>
            <w:r>
              <w:rPr>
                <w:sz w:val="18"/>
              </w:rPr>
              <w:t>Bloquear en los guards y en la base al lead con solicitud pendiente</w:t>
            </w:r>
          </w:p>
        </w:tc>
        <w:tc>
          <w:tcPr>
            <w:tcW w:type="dxa" w:w="4757"/>
            <w:vAlign w:val="top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D174D"/>
                <w:sz w:val="17"/>
              </w:rPr>
              <w:t>src/lib/tenantGuards.ts</w:t>
            </w:r>
            <w:r>
              <w:rPr>
                <w:sz w:val="18"/>
              </w:rPr>
              <w:t xml:space="preserve"> y base de datos; invariante 9</w:t>
            </w:r>
          </w:p>
        </w:tc>
      </w:tr>
      <w:tr>
        <w:trPr>
          <w:cantSplit/>
        </w:trPr>
        <w:tc>
          <w:tcPr>
            <w:tcW w:type="dxa" w:w="5216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Reglas por perfil dentro de la base</w:t>
            </w:r>
          </w:p>
        </w:tc>
        <w:tc>
          <w:tcPr>
            <w:tcW w:type="dxa" w:w="4757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 xml:space="preserve">Migración 0022; </w:t>
            </w:r>
            <w:r>
              <w:rPr>
                <w:rFonts w:ascii="Consolas" w:hAnsi="Consolas" w:eastAsia="Consolas"/>
                <w:color w:val="9D174D"/>
                <w:sz w:val="17"/>
              </w:rPr>
              <w:t>test:db</w:t>
            </w:r>
            <w:r>
              <w:rPr>
                <w:sz w:val="18"/>
              </w:rPr>
              <w:t xml:space="preserve"> en 0 fallas</w:t>
            </w:r>
          </w:p>
        </w:tc>
      </w:tr>
      <w:tr>
        <w:trPr>
          <w:cantSplit/>
        </w:trPr>
        <w:tc>
          <w:tcPr>
            <w:tcW w:type="dxa" w:w="5216"/>
            <w:vAlign w:val="top"/>
          </w:tcPr>
          <w:p>
            <w:pPr>
              <w:spacing w:after="0"/>
            </w:pPr>
            <w:r>
              <w:rPr>
                <w:sz w:val="18"/>
              </w:rPr>
              <w:t>Sesión obligatoria para el asistente publicado y política de contenido (CSP)</w:t>
            </w:r>
          </w:p>
        </w:tc>
        <w:tc>
          <w:tcPr>
            <w:tcW w:type="dxa" w:w="4757"/>
            <w:vAlign w:val="top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D174D"/>
                <w:sz w:val="17"/>
              </w:rPr>
              <w:t>server/session.ts</w:t>
            </w:r>
            <w:r>
              <w:rPr>
                <w:sz w:val="18"/>
              </w:rPr>
              <w:t>; configuración de publicación</w:t>
            </w:r>
          </w:p>
        </w:tc>
      </w:tr>
      <w:tr>
        <w:trPr>
          <w:cantSplit/>
        </w:trPr>
        <w:tc>
          <w:tcPr>
            <w:tcW w:type="dxa" w:w="5216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Cambios de presupuesto y de clave registrados por funciones de la base</w:t>
            </w:r>
          </w:p>
        </w:tc>
        <w:tc>
          <w:tcPr>
            <w:tcW w:type="dxa" w:w="4757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Migraciones 0031 y 0032</w:t>
            </w:r>
          </w:p>
        </w:tc>
      </w:tr>
      <w:tr>
        <w:trPr>
          <w:cantSplit/>
        </w:trPr>
        <w:tc>
          <w:tcPr>
            <w:tcW w:type="dxa" w:w="5216"/>
            <w:vAlign w:val="top"/>
          </w:tcPr>
          <w:p>
            <w:pPr>
              <w:spacing w:after="0"/>
            </w:pPr>
            <w:r>
              <w:rPr>
                <w:sz w:val="18"/>
              </w:rPr>
              <w:t>Cada empresa con su propia clave de OpenAI, cifrada</w:t>
            </w:r>
          </w:p>
        </w:tc>
        <w:tc>
          <w:tcPr>
            <w:tcW w:type="dxa" w:w="4757"/>
            <w:vAlign w:val="top"/>
          </w:tcPr>
          <w:p>
            <w:pPr>
              <w:spacing w:after="0"/>
            </w:pPr>
            <w:r>
              <w:rPr>
                <w:sz w:val="18"/>
              </w:rPr>
              <w:t>Migración 0032 (Vault)</w:t>
            </w:r>
          </w:p>
        </w:tc>
      </w:tr>
      <w:tr>
        <w:trPr>
          <w:cantSplit/>
        </w:trPr>
        <w:tc>
          <w:tcPr>
            <w:tcW w:type="dxa" w:w="5216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Pruebas de mutación a mano para las pruebas de seguridad</w:t>
            </w:r>
          </w:p>
        </w:tc>
        <w:tc>
          <w:tcPr>
            <w:tcW w:type="dxa" w:w="4757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D174D"/>
                <w:sz w:val="17"/>
              </w:rPr>
              <w:t>test:ai</w:t>
            </w:r>
          </w:p>
        </w:tc>
      </w:tr>
      <w:tr>
        <w:trPr>
          <w:cantSplit/>
        </w:trPr>
        <w:tc>
          <w:tcPr>
            <w:tcW w:type="dxa" w:w="5216"/>
            <w:vAlign w:val="top"/>
          </w:tcPr>
          <w:p>
            <w:pPr>
              <w:spacing w:after="0"/>
            </w:pPr>
            <w:r>
              <w:rPr>
                <w:sz w:val="18"/>
              </w:rPr>
              <w:t>Escanear claves y datos reales antes de publicar, también en el historial</w:t>
            </w:r>
          </w:p>
        </w:tc>
        <w:tc>
          <w:tcPr>
            <w:tcW w:type="dxa" w:w="4757"/>
            <w:vAlign w:val="top"/>
          </w:tcPr>
          <w:p>
            <w:pPr>
              <w:spacing w:after="0"/>
            </w:pPr>
            <w:r>
              <w:rPr>
                <w:sz w:val="18"/>
              </w:rPr>
              <w:t>Checklist «Antes de publicar» (REV-05)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pPr>
        <w:pStyle w:val="Heading1"/>
      </w:pPr>
      <w:r>
        <w:t>Iteración 5: retrospectiva de cierre (a completar el 06-10-2026)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3322"/>
        <w:gridCol w:w="3322"/>
        <w:gridCol w:w="3327"/>
      </w:tblGrid>
      <w:tr>
        <w:trPr>
          <w:cantSplit/>
          <w:tblHeader/>
        </w:trPr>
        <w:tc>
          <w:tcPr>
            <w:tcW w:type="dxa" w:w="3322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¿Qué salió bien?</w:t>
            </w:r>
          </w:p>
        </w:tc>
        <w:tc>
          <w:tcPr>
            <w:tcW w:type="dxa" w:w="3322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¿Qué no salió bien?</w:t>
            </w:r>
          </w:p>
        </w:tc>
        <w:tc>
          <w:tcPr>
            <w:tcW w:type="dxa" w:w="3328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¿Qué cambiaremos?</w:t>
            </w:r>
          </w:p>
        </w:tc>
      </w:tr>
      <w:tr>
        <w:trPr>
          <w:cantSplit/>
        </w:trPr>
        <w:tc>
          <w:tcPr>
            <w:tcW w:type="dxa" w:w="3322"/>
            <w:vAlign w:val="top"/>
          </w:tcPr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0"/>
            </w:pPr>
          </w:p>
        </w:tc>
        <w:tc>
          <w:tcPr>
            <w:tcW w:type="dxa" w:w="3322"/>
            <w:vAlign w:val="top"/>
          </w:tcPr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0"/>
            </w:pPr>
          </w:p>
        </w:tc>
        <w:tc>
          <w:tcPr>
            <w:tcW w:type="dxa" w:w="3328"/>
            <w:vAlign w:val="top"/>
          </w:tcPr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0"/>
            </w:pP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134" w:bottom="1020" w:left="1134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lear" w:pos="4680"/>
        <w:tab w:val="clear" w:pos="9360"/>
        <w:tab w:val="right" w:pos="9972"/>
      </w:tabs>
    </w:pPr>
    <w:r/>
    <w:r>
      <w:rPr>
        <w:color w:val="475569"/>
        <w:sz w:val="17"/>
      </w:rPr>
      <w:t>Revela · Duoc UC · CAPSTONE APT122 · REV-06</w:t>
    </w:r>
    <w:r>
      <w:rPr>
        <w:color w:val="475569"/>
        <w:sz w:val="17"/>
      </w:rPr>
      <w:tab/>
      <w:t xml:space="preserve">Página </w:t>
    </w:r>
    <w:r>
      <w:rPr>
        <w:color w:val="475569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475569"/>
        <w:sz w:val="17"/>
      </w:rPr>
      <w:t xml:space="preserve"> de </w:t>
    </w:r>
    <w:r>
      <w:rPr>
        <w:color w:val="475569"/>
        <w:sz w:val="17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4" w:color="CBD5E1"/>
      </w:pBdr>
    </w:pPr>
    <w:r/>
    <w:r>
      <w:rPr>
        <w:color w:val="475569"/>
        <w:sz w:val="17"/>
      </w:rPr>
      <w:t>Revela · Retrospectivas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3730A3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6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3730A3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475569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libri" w:hAnsi="Calibr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REV-06</dc:title>
  <dc:subject/>
  <dc:creator>Yair Hamir Costa Pérez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es-CL</dc:language>
</cp:coreProperties>
</file>