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972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133"/>
        <w:gridCol w:w="8838"/>
      </w:tblGrid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38"/>
            <w:vAlign w:val="center"/>
          </w:tcPr>
          <w:p>
            <w:pPr>
              <w:spacing w:after="0"/>
            </w:pPr>
            <w:r>
              <w:rPr>
                <w:b/>
                <w:color w:val="3730A3"/>
                <w:sz w:val="44"/>
              </w:rPr>
              <w:t>Product Vision</w:t>
            </w:r>
          </w:p>
          <w:p>
            <w:pPr>
              <w:spacing w:after="0"/>
            </w:pPr>
            <w:r>
              <w:rPr>
                <w:color w:val="475569"/>
                <w:sz w:val="22"/>
              </w:rPr>
              <w:t>Visión del producto Revela</w:t>
            </w:r>
          </w:p>
        </w:tc>
      </w:tr>
    </w:tbl>
    <w:p>
      <w:pPr>
        <w:spacing w:after="120" w:before="40"/>
        <w:pBdr>
          <w:bottom w:val="single" w:sz="12" w:space="1" w:color="E11D48"/>
        </w:pBdr>
      </w:pP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757"/>
        <w:gridCol w:w="3231"/>
        <w:gridCol w:w="1700"/>
        <w:gridCol w:w="3282"/>
      </w:tblGrid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Proyecto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Revela (ex GeoCRM)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Autor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Yair Hamir Costa Pérez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Código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REV-02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Asignatura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CAPSTONE (APT122) · sección 003D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Versión / fecha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1.0 · 01-10-2026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Institución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Duoc UC · Sede Antonio Varas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Estado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Versión para revisión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Docente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Rocío Contreras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1. Enunciado de la visión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6" w:space="0" w:color="3730A3"/>
          <w:left w:val="single" w:sz="6" w:space="0" w:color="3730A3"/>
          <w:bottom w:val="single" w:sz="6" w:space="0" w:color="3730A3"/>
          <w:right w:val="single" w:sz="6" w:space="0" w:color="3730A3"/>
          <w:insideH w:val="single" w:sz="6" w:space="0" w:color="3730A3"/>
          <w:insideV w:val="single" w:sz="6" w:space="0" w:color="3730A3"/>
        </w:tblBorders>
        <w:tblCellMar>
          <w:top w:w="100" w:type="dxa"/>
          <w:left w:w="160" w:type="dxa"/>
          <w:bottom w:w="100" w:type="dxa"/>
          <w:right w:w="160" w:type="dxa"/>
        </w:tblCellMar>
        <w:tblLayout w:type="fixed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EF2FF"/>
          </w:tcPr>
          <w:p>
            <w:pPr>
              <w:spacing w:after="40"/>
            </w:pPr>
            <w:r>
              <w:rPr>
                <w:b/>
                <w:color w:val="3730A3"/>
                <w:sz w:val="18"/>
              </w:rPr>
              <w:t>Para quién, qué y por qué</w:t>
            </w:r>
          </w:p>
          <w:p>
            <w:pPr>
              <w:spacing w:after="0"/>
            </w:pPr>
            <w:r>
              <w:rPr>
                <w:b/>
                <w:sz w:val="21"/>
              </w:rPr>
              <w:t>Para</w:t>
            </w:r>
            <w:r>
              <w:rPr>
                <w:sz w:val="21"/>
              </w:rPr>
              <w:t xml:space="preserve"> equipos comerciales de empresas B2B que venden en uno o varios países de América Latina, </w:t>
            </w:r>
            <w:r>
              <w:rPr>
                <w:b/>
                <w:sz w:val="21"/>
              </w:rPr>
              <w:t>que</w:t>
            </w:r>
            <w:r>
              <w:rPr>
                <w:sz w:val="21"/>
              </w:rPr>
              <w:t xml:space="preserve"> hoy llevan sus oportunidades en planillas o en CRMs genéricos y no saben dónde se vende, </w:t>
            </w:r>
            <w:r>
              <w:rPr>
                <w:b/>
                <w:sz w:val="21"/>
              </w:rPr>
              <w:t>Revela es</w:t>
            </w:r>
            <w:r>
              <w:rPr>
                <w:sz w:val="21"/>
              </w:rPr>
              <w:t xml:space="preserve"> un CRM multiempresa con inteligencia geográfica </w:t>
            </w:r>
            <w:r>
              <w:rPr>
                <w:b/>
                <w:sz w:val="21"/>
              </w:rPr>
              <w:t>que</w:t>
            </w:r>
            <w:r>
              <w:rPr>
                <w:sz w:val="21"/>
              </w:rPr>
              <w:t xml:space="preserve"> ubica cada lead en su zona oficial, mide qué se vende y dónde, y cumple la ley de datos personales desde el diseño. </w:t>
            </w:r>
            <w:r>
              <w:rPr>
                <w:b/>
                <w:sz w:val="21"/>
              </w:rPr>
              <w:t>A diferencia de</w:t>
            </w:r>
            <w:r>
              <w:rPr>
                <w:sz w:val="21"/>
              </w:rPr>
              <w:t xml:space="preserve"> un CRM genérico o una planilla, Revela entiende la geografía de cada país, no guarda la ubicación exacta de nadie y bloquea por diseño lo que la ley prohíbe.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2. Product Vision Board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927"/>
        <w:gridCol w:w="8044"/>
      </w:tblGrid>
      <w:tr>
        <w:trPr>
          <w:cantSplit/>
          <w:tblHeader/>
        </w:trPr>
        <w:tc>
          <w:tcPr>
            <w:tcW w:type="dxa" w:w="1928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804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Visión</w:t>
            </w:r>
          </w:p>
        </w:tc>
        <w:tc>
          <w:tcPr>
            <w:tcW w:type="dxa" w:w="8045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Que cualquier empresa B2B de América Latina sepa dónde vende, sin poner en riesgo los datos de sus clientes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Grupo objetivo</w:t>
            </w:r>
          </w:p>
        </w:tc>
        <w:tc>
          <w:tcPr>
            <w:tcW w:type="dxa" w:w="8045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Empresas con equipo comercial que venden en uno o más países de América Latina. Primera usuaria: una empresa de servicios de Chile y Perú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Necesidades</w:t>
            </w:r>
          </w:p>
        </w:tc>
        <w:tc>
          <w:tcPr>
            <w:tcW w:type="dxa" w:w="8045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Saber dónde se vende y qué producto rinde en cada zona; operar en varios países y monedas; cumplir la Ley 21.719; capturar leads rápido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Producto</w:t>
            </w:r>
          </w:p>
        </w:tc>
        <w:tc>
          <w:tcPr>
            <w:tcW w:type="dxa" w:w="8045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CRM multiempresa con mapa por zona oficial, pipeline, bitácora y agenda, catálogo, multipaís y multimoneda, auditoría, derechos del titular y un asistente de IA acotado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sz w:val="18"/>
              </w:rPr>
              <w:t>Metas de negocio</w:t>
            </w:r>
          </w:p>
        </w:tc>
        <w:tc>
          <w:tcPr>
            <w:tcW w:type="dxa" w:w="8045"/>
            <w:vAlign w:val="top"/>
          </w:tcPr>
          <w:p>
            <w:pPr>
              <w:spacing w:after="0"/>
            </w:pPr>
            <w:r>
              <w:rPr>
                <w:sz w:val="18"/>
              </w:rPr>
              <w:t>Operar en producción con la empresa piloto; reducir el riesgo legal de sus clientes; atender a varias empresas desde una sola plataforma (suscripción mensual por empresa; el cobro está diseñado, aún no construido)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3. Problema</w:t>
      </w:r>
    </w:p>
    <w:p>
      <w:r>
        <w:t xml:space="preserve">Los gerentes comerciales no ven </w:t>
      </w:r>
      <w:r>
        <w:rPr>
          <w:i/>
        </w:rPr>
        <w:t>dónde</w:t>
      </w:r>
      <w:r>
        <w:t xml:space="preserve"> cierran negocios sus equipos ni qué productos se venden en cada zona, y cumplir la Ley 21.719 con una planilla es impracticable.</w:t>
      </w:r>
    </w:p>
    <w:p>
      <w:pPr>
        <w:pStyle w:val="Heading1"/>
      </w:pPr>
      <w:r>
        <w:t>4. Usuarios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097"/>
        <w:gridCol w:w="3174"/>
        <w:gridCol w:w="4699"/>
      </w:tblGrid>
      <w:tr>
        <w:trPr>
          <w:cantSplit/>
          <w:tblHeader/>
        </w:trPr>
        <w:tc>
          <w:tcPr>
            <w:tcW w:type="dxa" w:w="2098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317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Qué necesita</w:t>
            </w:r>
          </w:p>
        </w:tc>
        <w:tc>
          <w:tcPr>
            <w:tcW w:type="dxa" w:w="4700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Cómo lo resuelve Revela</w:t>
            </w:r>
          </w:p>
        </w:tc>
      </w:tr>
      <w:tr>
        <w:trPr>
          <w:cantSplit/>
        </w:trPr>
        <w:tc>
          <w:tcPr>
            <w:tcW w:type="dxa" w:w="2098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Vendedor (usuario base)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Registrar un lead y su contacto en segundos</w:t>
            </w:r>
          </w:p>
        </w:tc>
        <w:tc>
          <w:tcPr>
            <w:tcW w:type="dxa" w:w="4700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Captura rápida con origen y base del dato; agenda de seguimientos; asistente que busca empresas y registra leads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Gerente</w:t>
            </w:r>
          </w:p>
        </w:tc>
        <w:tc>
          <w:tcPr>
            <w:tcW w:type="dxa" w:w="3175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Un mapa y un ranking claro de zonas y productos, control de su equipo y tranquilidad legal</w:t>
            </w:r>
          </w:p>
        </w:tc>
        <w:tc>
          <w:tcPr>
            <w:tcW w:type="dxa" w:w="4700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KPI y mapa por zona, catálogo, usuarios, auditoría con reversión y resolución de solicitudes del titular</w:t>
            </w:r>
          </w:p>
        </w:tc>
      </w:tr>
      <w:tr>
        <w:trPr>
          <w:cantSplit/>
        </w:trPr>
        <w:tc>
          <w:tcPr>
            <w:tcW w:type="dxa" w:w="2098"/>
            <w:vAlign w:val="top"/>
          </w:tcPr>
          <w:p>
            <w:pPr>
              <w:spacing w:after="0"/>
            </w:pPr>
            <w:r>
              <w:rPr>
                <w:sz w:val="18"/>
              </w:rPr>
              <w:t>Administrador de la plataforma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8"/>
              </w:rPr>
              <w:t>Operar varias empresas sin ver los datos de sus leads</w:t>
            </w:r>
          </w:p>
        </w:tc>
        <w:tc>
          <w:tcPr>
            <w:tcW w:type="dxa" w:w="4700"/>
            <w:vAlign w:val="top"/>
          </w:tcPr>
          <w:p>
            <w:pPr>
              <w:spacing w:after="0"/>
            </w:pPr>
            <w:r>
              <w:rPr>
                <w:sz w:val="18"/>
              </w:rPr>
              <w:t>Panel de uso con números, nunca datos de leads; creación, suspensión y exportación de CRMs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5. Propuesta de valor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322"/>
        <w:gridCol w:w="3322"/>
        <w:gridCol w:w="3327"/>
      </w:tblGrid>
      <w:tr>
        <w:trPr>
          <w:cantSplit/>
          <w:tblHeader/>
        </w:trPr>
        <w:tc>
          <w:tcPr>
            <w:tcW w:type="dxa" w:w="3322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Para el gerente</w:t>
            </w:r>
          </w:p>
        </w:tc>
        <w:tc>
          <w:tcPr>
            <w:tcW w:type="dxa" w:w="3322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Para el vendedor</w:t>
            </w:r>
          </w:p>
        </w:tc>
        <w:tc>
          <w:tcPr>
            <w:tcW w:type="dxa" w:w="3328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Para la empresa</w:t>
            </w:r>
          </w:p>
        </w:tc>
      </w:tr>
      <w:tr>
        <w:trPr>
          <w:cantSplit/>
        </w:trPr>
        <w:tc>
          <w:tcPr>
            <w:tcW w:type="dxa" w:w="3322"/>
            <w:vAlign w:val="top"/>
          </w:tcPr>
          <w:p>
            <w:pPr>
              <w:spacing w:after="0"/>
            </w:pPr>
            <w:r>
              <w:rPr>
                <w:sz w:val="18"/>
              </w:rPr>
              <w:t>Mapa de zonas por dinero ganado y cierres; ranking de zonas y productos</w:t>
            </w:r>
          </w:p>
        </w:tc>
        <w:tc>
          <w:tcPr>
            <w:tcW w:type="dxa" w:w="3322"/>
            <w:vAlign w:val="top"/>
          </w:tcPr>
          <w:p>
            <w:pPr>
              <w:spacing w:after="0"/>
            </w:pPr>
            <w:r>
              <w:rPr>
                <w:sz w:val="18"/>
              </w:rPr>
              <w:t>Captura rápida; agenda de seguimientos; asistente que busca empresas y registra leads</w:t>
            </w:r>
          </w:p>
        </w:tc>
        <w:tc>
          <w:tcPr>
            <w:tcW w:type="dxa" w:w="3328"/>
            <w:vAlign w:val="top"/>
          </w:tcPr>
          <w:p>
            <w:pPr>
              <w:spacing w:after="0"/>
            </w:pPr>
            <w:r>
              <w:rPr>
                <w:sz w:val="18"/>
              </w:rPr>
              <w:t>Datos aislados de otras empresas; historial de cambios inalterable; derechos del titular resueltos en la herramienta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6. Qué la hace diferente</w:t>
      </w:r>
    </w:p>
    <w:p>
      <w:pPr>
        <w:pStyle w:val="ListBullet"/>
      </w:pPr>
      <w:r>
        <w:rPr>
          <w:b/>
        </w:rPr>
        <w:t>Zonas oficiales de 19 países, sin ubicar a nadie:</w:t>
      </w:r>
      <w:r>
        <w:t xml:space="preserve"> el mapa muestra zonas con su cantidad de leads, nunca la ubicación exacta.</w:t>
      </w:r>
    </w:p>
    <w:p>
      <w:pPr>
        <w:pStyle w:val="ListBullet"/>
      </w:pPr>
      <w:r>
        <w:rPr>
          <w:b/>
        </w:rPr>
        <w:t>Privacidad operativa, no solo declarada:</w:t>
      </w:r>
      <w:r>
        <w:t xml:space="preserve"> el lead con solicitud pendiente queda bloqueado en los guards y en la base.</w:t>
      </w:r>
    </w:p>
    <w:p>
      <w:pPr>
        <w:pStyle w:val="ListBullet"/>
      </w:pPr>
      <w:r>
        <w:rPr>
          <w:b/>
        </w:rPr>
        <w:t>Aislamiento entre empresas probado con ataques</w:t>
      </w:r>
      <w:r>
        <w:t xml:space="preserve"> contra la base real.</w:t>
      </w:r>
    </w:p>
    <w:p>
      <w:pPr>
        <w:pStyle w:val="ListBullet"/>
      </w:pPr>
      <w:r>
        <w:rPr>
          <w:b/>
        </w:rPr>
        <w:t>Multipaís y multimoneda sin falsear cifras:</w:t>
      </w:r>
      <w:r>
        <w:t xml:space="preserve"> cada monto se guarda en su moneda y se convierte solo para mostrar.</w:t>
      </w:r>
    </w:p>
    <w:p>
      <w:pPr>
        <w:pStyle w:val="ListBullet"/>
      </w:pPr>
      <w:r>
        <w:rPr>
          <w:b/>
        </w:rPr>
        <w:t>Asistente de IA con límites duros:</w:t>
      </w:r>
      <w:r>
        <w:t xml:space="preserve"> no borra ni toca la configuración; cada empresa usa su clave y su presupuesto.</w:t>
      </w:r>
    </w:p>
    <w:p>
      <w:pPr>
        <w:pStyle w:val="Heading2"/>
      </w:pPr>
      <w:r>
        <w:t>Qué no es</w:t>
      </w:r>
    </w:p>
    <w:p>
      <w:r>
        <w:rPr>
          <w:sz w:val="20"/>
        </w:rPr>
        <w:t>No es un ERP ni un sistema de facturación; no guarda la ubicación exacta de las personas; no reemplaza la asesoría legal; y su asistente de IA nunca borra datos.</w:t>
      </w:r>
    </w:p>
    <w:p>
      <w:pPr>
        <w:pStyle w:val="Heading1"/>
      </w:pPr>
      <w:r>
        <w:t>7. Indicadores de éxito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4648"/>
        <w:gridCol w:w="3514"/>
        <w:gridCol w:w="1808"/>
      </w:tblGrid>
      <w:tr>
        <w:trPr>
          <w:cantSplit/>
          <w:tblHeader/>
        </w:trPr>
        <w:tc>
          <w:tcPr>
            <w:tcW w:type="dxa" w:w="4649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51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Cómo se verifica</w:t>
            </w:r>
          </w:p>
        </w:tc>
        <w:tc>
          <w:tcPr>
            <w:tcW w:type="dxa" w:w="1809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4649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La empresa piloto captura y gestiona sus leads en Revela, en producción</w:t>
            </w:r>
          </w:p>
        </w:tc>
        <w:tc>
          <w:tcPr>
            <w:tcW w:type="dxa" w:w="3515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Uso del piloto en la aplicación publicada</w:t>
            </w:r>
          </w:p>
        </w:tc>
        <w:tc>
          <w:tcPr>
            <w:tcW w:type="dxa" w:w="1809"/>
            <w:vAlign w:val="top"/>
            <w:shd w:val="clear" w:color="auto" w:fill="DBEAFE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1E40AF"/>
                <w:sz w:val="18"/>
              </w:rPr>
              <w:t>En curso</w:t>
            </w:r>
          </w:p>
        </w:tc>
      </w:tr>
      <w:tr>
        <w:trPr>
          <w:cantSplit/>
        </w:trPr>
        <w:tc>
          <w:tcPr>
            <w:tcW w:type="dxa" w:w="4649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El gerente responde «¿dónde vendemos más?» en una sola pantalla</w:t>
            </w:r>
          </w:p>
        </w:tc>
        <w:tc>
          <w:tcPr>
            <w:tcW w:type="dxa" w:w="3515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Módulo KPI y mapa</w:t>
            </w:r>
          </w:p>
        </w:tc>
        <w:tc>
          <w:tcPr>
            <w:tcW w:type="dxa" w:w="1809"/>
            <w:vAlign w:val="top"/>
            <w:shd w:val="clear" w:color="auto" w:fill="DCFCE7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Cumplido</w:t>
            </w:r>
          </w:p>
        </w:tc>
      </w:tr>
      <w:tr>
        <w:trPr>
          <w:cantSplit/>
        </w:trPr>
        <w:tc>
          <w:tcPr>
            <w:tcW w:type="dxa" w:w="4649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Cero datos de una empresa visibles para otra</w:t>
            </w:r>
          </w:p>
        </w:tc>
        <w:tc>
          <w:tcPr>
            <w:tcW w:type="dxa" w:w="3515"/>
            <w:vAlign w:val="top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color w:val="9D174D"/>
                <w:sz w:val="17"/>
              </w:rPr>
              <w:t>test:tenant</w:t>
            </w:r>
            <w:r>
              <w:rPr>
                <w:sz w:val="18"/>
              </w:rPr>
              <w:t xml:space="preserve"> (78) y </w:t>
            </w:r>
            <w:r>
              <w:rPr>
                <w:rFonts w:ascii="Consolas" w:hAnsi="Consolas" w:eastAsia="Consolas"/>
                <w:color w:val="9D174D"/>
                <w:sz w:val="17"/>
              </w:rPr>
              <w:t>test:db</w:t>
            </w:r>
            <w:r>
              <w:rPr>
                <w:sz w:val="18"/>
              </w:rPr>
              <w:t xml:space="preserve"> (257) en verde</w:t>
            </w:r>
          </w:p>
        </w:tc>
        <w:tc>
          <w:tcPr>
            <w:tcW w:type="dxa" w:w="1809"/>
            <w:vAlign w:val="top"/>
            <w:shd w:val="clear" w:color="auto" w:fill="DCFCE7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Cumplido</w:t>
            </w:r>
          </w:p>
        </w:tc>
      </w:tr>
      <w:tr>
        <w:trPr>
          <w:cantSplit/>
        </w:trPr>
        <w:tc>
          <w:tcPr>
            <w:tcW w:type="dxa" w:w="46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Las solicitudes de los titulares se registran y resuelven en la herramienta, con el lead bloqueado</w:t>
            </w:r>
          </w:p>
        </w:tc>
        <w:tc>
          <w:tcPr>
            <w:tcW w:type="dxa" w:w="351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 xml:space="preserve">Módulo de derechos del titular; </w:t>
            </w:r>
            <w:r>
              <w:rPr>
                <w:rFonts w:ascii="Consolas" w:hAnsi="Consolas" w:eastAsia="Consolas"/>
                <w:color w:val="9D174D"/>
                <w:sz w:val="17"/>
              </w:rPr>
              <w:t>test:db</w:t>
            </w:r>
          </w:p>
        </w:tc>
        <w:tc>
          <w:tcPr>
            <w:tcW w:type="dxa" w:w="180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Cumplido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lear" w:pos="4680"/>
        <w:tab w:val="clear" w:pos="9360"/>
        <w:tab w:val="right" w:pos="9972"/>
      </w:tabs>
    </w:pPr>
    <w:r/>
    <w:r>
      <w:rPr>
        <w:color w:val="475569"/>
        <w:sz w:val="17"/>
      </w:rPr>
      <w:t>Revela · Duoc UC · CAPSTONE APT122 · REV-02</w:t>
    </w:r>
    <w:r>
      <w:rPr>
        <w:color w:val="475569"/>
        <w:sz w:val="17"/>
      </w:rPr>
      <w:tab/>
      <w:t xml:space="preserve">Página </w:t>
    </w:r>
    <w:r>
      <w:rPr>
        <w:color w:val="47556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475569"/>
        <w:sz w:val="17"/>
      </w:rPr>
      <w:t xml:space="preserve"> de </w:t>
    </w:r>
    <w:r>
      <w:rPr>
        <w:color w:val="475569"/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BD5E1"/>
      </w:pBdr>
    </w:pPr>
    <w:r/>
    <w:r>
      <w:rPr>
        <w:color w:val="475569"/>
        <w:sz w:val="17"/>
      </w:rPr>
      <w:t>Revela · Product Vision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4755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REV-02</dc:title>
  <dc:subject/>
  <dc:creator>Yair Hamir Costa Pérez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