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972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1133"/>
        <w:gridCol w:w="8838"/>
      </w:tblGrid>
      <w:tr>
        <w:tc>
          <w:tcPr>
            <w:tcW w:type="dxa" w:w="1134"/>
            <w:vAlign w:val="center"/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838"/>
            <w:vAlign w:val="center"/>
          </w:tcPr>
          <w:p>
            <w:pPr>
              <w:spacing w:after="0"/>
            </w:pPr>
            <w:r>
              <w:rPr>
                <w:b/>
                <w:color w:val="3730A3"/>
                <w:sz w:val="44"/>
              </w:rPr>
              <w:t>Acta de Inicio del Proyecto</w:t>
            </w:r>
          </w:p>
          <w:p>
            <w:pPr>
              <w:spacing w:after="0"/>
            </w:pPr>
            <w:r>
              <w:rPr>
                <w:color w:val="475569"/>
                <w:sz w:val="22"/>
              </w:rPr>
              <w:t>Project Charter · Revela, CRM SaaS multiempresa con inteligencia geográfica</w:t>
            </w:r>
          </w:p>
        </w:tc>
      </w:tr>
    </w:tbl>
    <w:p>
      <w:pPr>
        <w:spacing w:after="120" w:before="40"/>
        <w:pBdr>
          <w:bottom w:val="single" w:sz="12" w:space="1" w:color="E11D48"/>
        </w:pBdr>
      </w:pPr>
    </w:p>
    <w:tbl>
      <w:tblPr>
        <w:tblW w:type="dxa" w:w="9972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1757"/>
        <w:gridCol w:w="3231"/>
        <w:gridCol w:w="1700"/>
        <w:gridCol w:w="3282"/>
      </w:tblGrid>
      <w:tr>
        <w:trPr>
          <w:cantSplit/>
        </w:trPr>
        <w:tc>
          <w:tcPr>
            <w:tcW w:type="dxa" w:w="1757"/>
            <w:shd w:val="clear" w:color="auto" w:fill="EEF2FF"/>
          </w:tcPr>
          <w:p>
            <w:pPr>
              <w:spacing w:after="0"/>
            </w:pPr>
            <w:r>
              <w:rPr>
                <w:b/>
                <w:color w:val="3730A3"/>
                <w:sz w:val="18"/>
              </w:rPr>
              <w:t>Proyecto</w:t>
            </w:r>
          </w:p>
        </w:tc>
        <w:tc>
          <w:tcPr>
            <w:tcW w:type="dxa" w:w="3231"/>
          </w:tcPr>
          <w:p>
            <w:pPr>
              <w:spacing w:after="0"/>
            </w:pPr>
            <w:r>
              <w:rPr>
                <w:sz w:val="19"/>
              </w:rPr>
              <w:t>Revela (ex GeoCRM)</w:t>
            </w:r>
          </w:p>
        </w:tc>
        <w:tc>
          <w:tcPr>
            <w:tcW w:type="dxa" w:w="1701"/>
            <w:shd w:val="clear" w:color="auto" w:fill="EEF2FF"/>
          </w:tcPr>
          <w:p>
            <w:pPr>
              <w:spacing w:after="0"/>
            </w:pPr>
            <w:r>
              <w:rPr>
                <w:b/>
                <w:color w:val="3730A3"/>
                <w:sz w:val="18"/>
              </w:rPr>
              <w:t>Autor</w:t>
            </w:r>
          </w:p>
        </w:tc>
        <w:tc>
          <w:tcPr>
            <w:tcW w:type="dxa" w:w="3283"/>
          </w:tcPr>
          <w:p>
            <w:pPr>
              <w:spacing w:after="0"/>
            </w:pPr>
            <w:r>
              <w:rPr>
                <w:sz w:val="19"/>
              </w:rPr>
              <w:t>Yair Hamir Costa Pérez</w:t>
            </w:r>
          </w:p>
        </w:tc>
      </w:tr>
      <w:tr>
        <w:trPr>
          <w:cantSplit/>
        </w:trPr>
        <w:tc>
          <w:tcPr>
            <w:tcW w:type="dxa" w:w="1757"/>
            <w:shd w:val="clear" w:color="auto" w:fill="EEF2FF"/>
          </w:tcPr>
          <w:p>
            <w:pPr>
              <w:spacing w:after="0"/>
            </w:pPr>
            <w:r>
              <w:rPr>
                <w:b/>
                <w:color w:val="3730A3"/>
                <w:sz w:val="18"/>
              </w:rPr>
              <w:t>Código</w:t>
            </w:r>
          </w:p>
        </w:tc>
        <w:tc>
          <w:tcPr>
            <w:tcW w:type="dxa" w:w="3231"/>
          </w:tcPr>
          <w:p>
            <w:pPr>
              <w:spacing w:after="0"/>
            </w:pPr>
            <w:r>
              <w:rPr>
                <w:sz w:val="19"/>
              </w:rPr>
              <w:t>REV-00</w:t>
            </w:r>
          </w:p>
        </w:tc>
        <w:tc>
          <w:tcPr>
            <w:tcW w:type="dxa" w:w="1701"/>
            <w:shd w:val="clear" w:color="auto" w:fill="EEF2FF"/>
          </w:tcPr>
          <w:p>
            <w:pPr>
              <w:spacing w:after="0"/>
            </w:pPr>
            <w:r>
              <w:rPr>
                <w:b/>
                <w:color w:val="3730A3"/>
                <w:sz w:val="18"/>
              </w:rPr>
              <w:t>Asignatura</w:t>
            </w:r>
          </w:p>
        </w:tc>
        <w:tc>
          <w:tcPr>
            <w:tcW w:type="dxa" w:w="3283"/>
          </w:tcPr>
          <w:p>
            <w:pPr>
              <w:spacing w:after="0"/>
            </w:pPr>
            <w:r>
              <w:rPr>
                <w:sz w:val="19"/>
              </w:rPr>
              <w:t>CAPSTONE (APT122) · sección 003D</w:t>
            </w:r>
          </w:p>
        </w:tc>
      </w:tr>
      <w:tr>
        <w:trPr>
          <w:cantSplit/>
        </w:trPr>
        <w:tc>
          <w:tcPr>
            <w:tcW w:type="dxa" w:w="1757"/>
            <w:shd w:val="clear" w:color="auto" w:fill="EEF2FF"/>
          </w:tcPr>
          <w:p>
            <w:pPr>
              <w:spacing w:after="0"/>
            </w:pPr>
            <w:r>
              <w:rPr>
                <w:b/>
                <w:color w:val="3730A3"/>
                <w:sz w:val="18"/>
              </w:rPr>
              <w:t>Versión / fecha</w:t>
            </w:r>
          </w:p>
        </w:tc>
        <w:tc>
          <w:tcPr>
            <w:tcW w:type="dxa" w:w="3231"/>
          </w:tcPr>
          <w:p>
            <w:pPr>
              <w:spacing w:after="0"/>
            </w:pPr>
            <w:r>
              <w:rPr>
                <w:sz w:val="19"/>
              </w:rPr>
              <w:t>1.0 · 01-10-2026</w:t>
            </w:r>
          </w:p>
        </w:tc>
        <w:tc>
          <w:tcPr>
            <w:tcW w:type="dxa" w:w="1701"/>
            <w:shd w:val="clear" w:color="auto" w:fill="EEF2FF"/>
          </w:tcPr>
          <w:p>
            <w:pPr>
              <w:spacing w:after="0"/>
            </w:pPr>
            <w:r>
              <w:rPr>
                <w:b/>
                <w:color w:val="3730A3"/>
                <w:sz w:val="18"/>
              </w:rPr>
              <w:t>Institución</w:t>
            </w:r>
          </w:p>
        </w:tc>
        <w:tc>
          <w:tcPr>
            <w:tcW w:type="dxa" w:w="3283"/>
          </w:tcPr>
          <w:p>
            <w:pPr>
              <w:spacing w:after="0"/>
            </w:pPr>
            <w:r>
              <w:rPr>
                <w:sz w:val="19"/>
              </w:rPr>
              <w:t>Duoc UC · Sede Antonio Varas</w:t>
            </w:r>
          </w:p>
        </w:tc>
      </w:tr>
      <w:tr>
        <w:trPr>
          <w:cantSplit/>
        </w:trPr>
        <w:tc>
          <w:tcPr>
            <w:tcW w:type="dxa" w:w="1757"/>
            <w:shd w:val="clear" w:color="auto" w:fill="EEF2FF"/>
          </w:tcPr>
          <w:p>
            <w:pPr>
              <w:spacing w:after="0"/>
            </w:pPr>
            <w:r>
              <w:rPr>
                <w:b/>
                <w:color w:val="3730A3"/>
                <w:sz w:val="18"/>
              </w:rPr>
              <w:t>Estado</w:t>
            </w:r>
          </w:p>
        </w:tc>
        <w:tc>
          <w:tcPr>
            <w:tcW w:type="dxa" w:w="3231"/>
          </w:tcPr>
          <w:p>
            <w:pPr>
              <w:spacing w:after="0"/>
            </w:pPr>
            <w:r>
              <w:rPr>
                <w:sz w:val="19"/>
              </w:rPr>
              <w:t>Versión para revisión</w:t>
            </w:r>
          </w:p>
        </w:tc>
        <w:tc>
          <w:tcPr>
            <w:tcW w:type="dxa" w:w="1701"/>
            <w:shd w:val="clear" w:color="auto" w:fill="EEF2FF"/>
          </w:tcPr>
          <w:p>
            <w:pPr>
              <w:spacing w:after="0"/>
            </w:pPr>
            <w:r>
              <w:rPr>
                <w:b/>
                <w:color w:val="3730A3"/>
                <w:sz w:val="18"/>
              </w:rPr>
              <w:t>Docente</w:t>
            </w:r>
          </w:p>
        </w:tc>
        <w:tc>
          <w:tcPr>
            <w:tcW w:type="dxa" w:w="3283"/>
          </w:tcPr>
          <w:p>
            <w:pPr>
              <w:spacing w:after="0"/>
            </w:pPr>
            <w:r>
              <w:rPr>
                <w:sz w:val="19"/>
              </w:rPr>
              <w:t>Rocío Contreras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r>
        <w:rPr>
          <w:i/>
          <w:color w:val="475569"/>
          <w:sz w:val="18"/>
        </w:rPr>
        <w:t>Estructura basada en el acta de constitución del proyecto (Project Charter) del PMBOK®/PMI, simplificada para un proyecto académico de una persona: las secciones que no aplican se omiten. Se redacta con el proyecto ya en marcha (el integrante se incorporó a la sección una vez iniciado el semestre) y refleja el alcance y las decisiones tal como están hoy.</w:t>
      </w:r>
    </w:p>
    <w:p>
      <w:pPr>
        <w:pStyle w:val="Heading1"/>
      </w:pPr>
      <w:r>
        <w:t>1. Resumen ejecutivo</w:t>
      </w:r>
    </w:p>
    <w:p>
      <w:r>
        <w:rPr>
          <w:b/>
        </w:rPr>
        <w:t>Revela</w:t>
      </w:r>
      <w:r>
        <w:t xml:space="preserve"> es un CRM SaaS multiempresa que captura leads, los ubica en un mapa </w:t>
      </w:r>
      <w:r>
        <w:rPr>
          <w:b/>
        </w:rPr>
        <w:t>por zona oficial</w:t>
      </w:r>
      <w:r>
        <w:t xml:space="preserve"> (comuna, distrito, municipio…) sin guardar la ubicación exacta de nadie, mide qué se vende y dónde, opera en los 19 países de América Latina y cumple la ley de datos personales desde el diseño. Está desarrollado, publicado en https://revela-henna.vercel.app (demo pública en </w:t>
      </w:r>
      <w:r>
        <w:rPr>
          <w:rFonts w:ascii="Consolas" w:hAnsi="Consolas" w:eastAsia="Consolas"/>
          <w:color w:val="9D174D"/>
        </w:rPr>
        <w:t>/?demo</w:t>
      </w:r>
      <w:r>
        <w:t>) y en piloto con una empresa de servicios de Chile y Perú.</w:t>
      </w:r>
    </w:p>
    <w:p>
      <w:pPr>
        <w:pStyle w:val="Heading1"/>
      </w:pPr>
      <w:r>
        <w:t>2. Propósito y justificación</w:t>
      </w:r>
    </w:p>
    <w:p>
      <w:pPr>
        <w:pStyle w:val="Heading2"/>
      </w:pPr>
      <w:r>
        <w:t>2.1 Problema u oportunidad</w:t>
      </w:r>
    </w:p>
    <w:p>
      <w:r>
        <w:t>Las empresas que venden a otras empresas en más de un país llevan sus oportunidades de venta (</w:t>
      </w:r>
      <w:r>
        <w:rPr>
          <w:i/>
        </w:rPr>
        <w:t>leads</w:t>
      </w:r>
      <w:r>
        <w:t>) en planillas o en CRMs genéricos. Eso les deja tres problemas concretos:</w:t>
      </w:r>
    </w:p>
    <w:p>
      <w:pPr>
        <w:pStyle w:val="ListBullet"/>
      </w:pPr>
      <w:r>
        <w:rPr>
          <w:b/>
        </w:rPr>
        <w:t>No saben dónde se vende.</w:t>
      </w:r>
      <w:r>
        <w:t xml:space="preserve"> Un CRM genérico dice cuántos leads hay, pero no en qué zona se cierran los negocios ni qué producto rinde en cada una; el gerente decide dónde invertir a ojo.</w:t>
      </w:r>
    </w:p>
    <w:p>
      <w:pPr>
        <w:pStyle w:val="ListBullet"/>
      </w:pPr>
      <w:r>
        <w:rPr>
          <w:b/>
        </w:rPr>
        <w:t>Operar en varios países es incómodo.</w:t>
      </w:r>
      <w:r>
        <w:t xml:space="preserve"> Cada país nombra sus zonas de otra manera, usa su moneda y su formato de datos.</w:t>
      </w:r>
    </w:p>
    <w:p>
      <w:pPr>
        <w:pStyle w:val="ListBullet"/>
      </w:pPr>
      <w:r>
        <w:rPr>
          <w:b/>
        </w:rPr>
        <w:t>Los datos personales son un riesgo legal.</w:t>
      </w:r>
      <w:r>
        <w:t xml:space="preserve"> La Ley 21.719 (vigente desde el 01-12-2026) exige conocer el origen de cada dato, respetar los derechos del titular y minimizar lo que se guarda; una planilla no puede bloquear un lead mientras el titular reclama ni anonimizarlo.</w:t>
      </w:r>
    </w:p>
    <w:p>
      <w:pPr>
        <w:pStyle w:val="Heading2"/>
      </w:pPr>
      <w:r>
        <w:t>2.2 Justificación</w:t>
      </w:r>
    </w:p>
    <w:p>
      <w:r>
        <w:t>(a) Es un problema real de una empresa que hoy opera en dos países; (b) existe una obligación legal con fecha (01-12-2026) que un CRM genérico no resuelve; (c) el aporte diferencial: zonas oficiales sin coordenadas, privacidad que la herramienta hace cumplir, aislamiento entre empresas probado con ataques y un asistente de IA con límites duros.</w:t>
      </w:r>
    </w:p>
    <w:p>
      <w:pPr>
        <w:pStyle w:val="Heading1"/>
      </w:pPr>
      <w:r>
        <w:t>3. Objetivos y criterios de éxito</w:t>
      </w:r>
    </w:p>
    <w:p>
      <w:r>
        <w:rPr>
          <w:b/>
        </w:rPr>
        <w:t>Objetivo general.</w:t>
      </w:r>
      <w:r>
        <w:t xml:space="preserve"> Desarrollar y publicar Revela, un CRM SaaS multiempresa con inteligencia geográfica, que permita a equipos comerciales de América Latina capturar leads, ubicarlos por zona y medir qué se vende y dónde, cumpliendo la normativa de protección de datos personales.</w:t>
      </w:r>
    </w:p>
    <w:tbl>
      <w:tblPr>
        <w:tblW w:type="dxa" w:w="9972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680"/>
        <w:gridCol w:w="3174"/>
        <w:gridCol w:w="3968"/>
        <w:gridCol w:w="2148"/>
      </w:tblGrid>
      <w:tr>
        <w:trPr>
          <w:cantSplit/>
          <w:tblHeader/>
        </w:trPr>
        <w:tc>
          <w:tcPr>
            <w:tcW w:type="dxa" w:w="680"/>
            <w:shd w:val="clear" w:color="auto" w:fill="3730A3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175"/>
            <w:shd w:val="clear" w:color="auto" w:fill="3730A3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Objetivo específico</w:t>
            </w:r>
          </w:p>
        </w:tc>
        <w:tc>
          <w:tcPr>
            <w:tcW w:type="dxa" w:w="3969"/>
            <w:shd w:val="clear" w:color="auto" w:fill="3730A3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Indicador de éxito (cómo se mide)</w:t>
            </w:r>
          </w:p>
        </w:tc>
        <w:tc>
          <w:tcPr>
            <w:tcW w:type="dxa" w:w="2149"/>
            <w:shd w:val="clear" w:color="auto" w:fill="3730A3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Estado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/>
              <w:jc w:val="center"/>
            </w:pPr>
            <w:r>
              <w:rPr>
                <w:sz w:val="18"/>
              </w:rPr>
              <w:t>OE1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8"/>
              </w:rPr>
              <w:t>Gestionar el ciclo del lead: captura, pipeline de 7 etapas, bitácora de contactos y agenda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sz w:val="18"/>
              </w:rPr>
              <w:t xml:space="preserve">Módulos Pipeline y Registro de contacto en producción; </w:t>
            </w:r>
            <w:r>
              <w:rPr>
                <w:rFonts w:ascii="Consolas" w:hAnsi="Consolas" w:eastAsia="Consolas"/>
                <w:color w:val="9D174D"/>
                <w:sz w:val="17"/>
              </w:rPr>
              <w:t>test:e2e</w:t>
            </w:r>
            <w:r>
              <w:rPr>
                <w:sz w:val="18"/>
              </w:rPr>
              <w:t xml:space="preserve"> (148) y </w:t>
            </w:r>
            <w:r>
              <w:rPr>
                <w:rFonts w:ascii="Consolas" w:hAnsi="Consolas" w:eastAsia="Consolas"/>
                <w:color w:val="9D174D"/>
                <w:sz w:val="17"/>
              </w:rPr>
              <w:t>test:tenant</w:t>
            </w:r>
            <w:r>
              <w:rPr>
                <w:sz w:val="18"/>
              </w:rPr>
              <w:t xml:space="preserve"> (78) en verde</w:t>
            </w:r>
          </w:p>
        </w:tc>
        <w:tc>
          <w:tcPr>
            <w:tcW w:type="dxa" w:w="2149"/>
            <w:vAlign w:val="top"/>
            <w:shd w:val="clear" w:color="auto" w:fill="DCFCE7"/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8"/>
              </w:rPr>
              <w:t>Cumplido</w:t>
            </w:r>
          </w:p>
        </w:tc>
      </w:tr>
      <w:tr>
        <w:trPr>
          <w:cantSplit/>
        </w:trPr>
        <w:tc>
          <w:tcPr>
            <w:tcW w:type="dxa" w:w="680"/>
            <w:vAlign w:val="top"/>
            <w:shd w:val="clear" w:color="auto" w:fill="F8FAFC"/>
          </w:tcPr>
          <w:p>
            <w:pPr>
              <w:spacing w:after="0"/>
              <w:jc w:val="center"/>
            </w:pPr>
            <w:r>
              <w:rPr>
                <w:sz w:val="18"/>
              </w:rPr>
              <w:t>OE2</w:t>
            </w:r>
          </w:p>
        </w:tc>
        <w:tc>
          <w:tcPr>
            <w:tcW w:type="dxa" w:w="3175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Ubicar cada lead en su zona oficial y mostrar KPI por zona</w:t>
            </w:r>
          </w:p>
        </w:tc>
        <w:tc>
          <w:tcPr>
            <w:tcW w:type="dxa" w:w="3969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14.489 zonas de 19 países cargadas; mapa por zona, sin coordenadas de personas</w:t>
            </w:r>
          </w:p>
        </w:tc>
        <w:tc>
          <w:tcPr>
            <w:tcW w:type="dxa" w:w="2149"/>
            <w:vAlign w:val="top"/>
            <w:shd w:val="clear" w:color="auto" w:fill="DCFCE7"/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8"/>
              </w:rPr>
              <w:t>Cumplido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/>
              <w:jc w:val="center"/>
            </w:pPr>
            <w:r>
              <w:rPr>
                <w:sz w:val="18"/>
              </w:rPr>
              <w:t>OE3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8"/>
              </w:rPr>
              <w:t>Aislar por completo los datos de cada empresa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9D174D"/>
                <w:sz w:val="17"/>
              </w:rPr>
              <w:t>test:db</w:t>
            </w:r>
            <w:r>
              <w:rPr>
                <w:sz w:val="18"/>
              </w:rPr>
              <w:t>: 257 pruebas, con ataques desde dentro, sin mezcla de datos</w:t>
            </w:r>
          </w:p>
        </w:tc>
        <w:tc>
          <w:tcPr>
            <w:tcW w:type="dxa" w:w="2149"/>
            <w:vAlign w:val="top"/>
            <w:shd w:val="clear" w:color="auto" w:fill="DCFCE7"/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8"/>
              </w:rPr>
              <w:t>Cumplido</w:t>
            </w:r>
          </w:p>
        </w:tc>
      </w:tr>
      <w:tr>
        <w:trPr>
          <w:cantSplit/>
        </w:trPr>
        <w:tc>
          <w:tcPr>
            <w:tcW w:type="dxa" w:w="680"/>
            <w:vAlign w:val="top"/>
            <w:shd w:val="clear" w:color="auto" w:fill="F8FAFC"/>
          </w:tcPr>
          <w:p>
            <w:pPr>
              <w:spacing w:after="0"/>
              <w:jc w:val="center"/>
            </w:pPr>
            <w:r>
              <w:rPr>
                <w:sz w:val="18"/>
              </w:rPr>
              <w:t>OE4</w:t>
            </w:r>
          </w:p>
        </w:tc>
        <w:tc>
          <w:tcPr>
            <w:tcW w:type="dxa" w:w="3175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Cumplir la Ley 21.719 desde el diseño</w:t>
            </w:r>
          </w:p>
        </w:tc>
        <w:tc>
          <w:tcPr>
            <w:tcW w:type="dxa" w:w="3969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Origen y base del dato obligatorios; derechos del titular con lead bloqueado; portal fiscalizador. La revisión de un abogado queda fuera del MVP (HU-19)</w:t>
            </w:r>
          </w:p>
        </w:tc>
        <w:tc>
          <w:tcPr>
            <w:tcW w:type="dxa" w:w="2149"/>
            <w:vAlign w:val="top"/>
            <w:shd w:val="clear" w:color="auto" w:fill="DCFCE7"/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8"/>
              </w:rPr>
              <w:t>Cumplido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/>
              <w:jc w:val="center"/>
            </w:pPr>
            <w:r>
              <w:rPr>
                <w:sz w:val="18"/>
              </w:rPr>
              <w:t>OE5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8"/>
              </w:rPr>
              <w:t>Incorporar un asistente de IA útil pero acotado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sz w:val="18"/>
              </w:rPr>
              <w:t xml:space="preserve">No borra nada; presupuesto mensual por empresa (US$ 30 por defecto) y clave propia; </w:t>
            </w:r>
            <w:r>
              <w:rPr>
                <w:rFonts w:ascii="Consolas" w:hAnsi="Consolas" w:eastAsia="Consolas"/>
                <w:color w:val="9D174D"/>
                <w:sz w:val="17"/>
              </w:rPr>
              <w:t>test:ai</w:t>
            </w:r>
            <w:r>
              <w:rPr>
                <w:sz w:val="18"/>
              </w:rPr>
              <w:t xml:space="preserve"> (48)</w:t>
            </w:r>
          </w:p>
        </w:tc>
        <w:tc>
          <w:tcPr>
            <w:tcW w:type="dxa" w:w="2149"/>
            <w:vAlign w:val="top"/>
            <w:shd w:val="clear" w:color="auto" w:fill="DCFCE7"/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8"/>
              </w:rPr>
              <w:t>Cumplido</w:t>
            </w:r>
          </w:p>
        </w:tc>
      </w:tr>
      <w:tr>
        <w:trPr>
          <w:cantSplit/>
        </w:trPr>
        <w:tc>
          <w:tcPr>
            <w:tcW w:type="dxa" w:w="680"/>
            <w:vAlign w:val="top"/>
            <w:shd w:val="clear" w:color="auto" w:fill="F8FAFC"/>
          </w:tcPr>
          <w:p>
            <w:pPr>
              <w:spacing w:after="0"/>
              <w:jc w:val="center"/>
            </w:pPr>
            <w:r>
              <w:rPr>
                <w:sz w:val="18"/>
              </w:rPr>
              <w:t>OE6</w:t>
            </w:r>
          </w:p>
        </w:tc>
        <w:tc>
          <w:tcPr>
            <w:tcW w:type="dxa" w:w="3175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Publicar, medir la calidad y dejar el sistema portable</w:t>
            </w:r>
          </w:p>
        </w:tc>
        <w:tc>
          <w:tcPr>
            <w:tcW w:type="dxa" w:w="3969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 xml:space="preserve">App en Vercel; </w:t>
            </w:r>
            <w:r>
              <w:rPr>
                <w:rFonts w:ascii="Consolas" w:hAnsi="Consolas" w:eastAsia="Consolas"/>
                <w:color w:val="9D174D"/>
                <w:sz w:val="17"/>
              </w:rPr>
              <w:t>test:vercel</w:t>
            </w:r>
            <w:r>
              <w:rPr>
                <w:sz w:val="18"/>
              </w:rPr>
              <w:t xml:space="preserve"> (24); </w:t>
            </w:r>
            <w:r>
              <w:rPr>
                <w:rFonts w:ascii="Consolas" w:hAnsi="Consolas" w:eastAsia="Consolas"/>
                <w:color w:val="9D174D"/>
                <w:sz w:val="17"/>
              </w:rPr>
              <w:t>test:rendimiento</w:t>
            </w:r>
            <w:r>
              <w:rPr>
                <w:sz w:val="18"/>
              </w:rPr>
              <w:t xml:space="preserve">: LCP 204 ms en local; </w:t>
            </w:r>
            <w:r>
              <w:rPr>
                <w:rFonts w:ascii="Consolas" w:hAnsi="Consolas" w:eastAsia="Consolas"/>
                <w:color w:val="9D174D"/>
                <w:sz w:val="17"/>
              </w:rPr>
              <w:t>Dockerfile</w:t>
            </w:r>
            <w:r>
              <w:rPr>
                <w:sz w:val="18"/>
              </w:rPr>
              <w:t xml:space="preserve"> (la imagen aún no se construyó en un equipo con Docker)</w:t>
            </w:r>
          </w:p>
        </w:tc>
        <w:tc>
          <w:tcPr>
            <w:tcW w:type="dxa" w:w="2149"/>
            <w:vAlign w:val="top"/>
            <w:shd w:val="clear" w:color="auto" w:fill="DCFCE7"/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8"/>
              </w:rPr>
              <w:t>Cumplido</w:t>
            </w:r>
          </w:p>
        </w:tc>
      </w:tr>
    </w:tbl>
    <w:p>
      <w:pPr>
        <w:spacing w:after="0" w:before="0" w:line="120" w:lineRule="exact"/>
      </w:pPr>
      <w:r>
        <w:rPr>
          <w:sz w:val="12"/>
        </w:rPr>
      </w:r>
    </w:p>
    <w:p>
      <w:pPr>
        <w:pStyle w:val="Heading1"/>
      </w:pPr>
      <w:r>
        <w:t>4. Alcance</w:t>
      </w:r>
    </w:p>
    <w:p>
      <w:pPr>
        <w:pStyle w:val="Heading2"/>
      </w:pPr>
      <w:r>
        <w:t>4.1 Incluido (construido y desplegado)</w:t>
      </w:r>
    </w:p>
    <w:p>
      <w:pPr>
        <w:pStyle w:val="ListBullet"/>
      </w:pPr>
      <w:r>
        <w:t>Captura de leads con origen y base del dato; pipeline; registro de contacto y agenda.</w:t>
      </w:r>
    </w:p>
    <w:p>
      <w:pPr>
        <w:pStyle w:val="ListBullet"/>
      </w:pPr>
      <w:r>
        <w:t>KPI y mapa por zonas oficiales; catálogo de productos y servicios con precios por país.</w:t>
      </w:r>
    </w:p>
    <w:p>
      <w:pPr>
        <w:pStyle w:val="ListBullet"/>
      </w:pPr>
      <w:r>
        <w:t>Multipaís (19 países) y multimoneda; usuarios y roles; auditoría con reversión; derechos del titular; exportación a Excel.</w:t>
      </w:r>
    </w:p>
    <w:p>
      <w:pPr>
        <w:pStyle w:val="ListBullet"/>
      </w:pPr>
      <w:r>
        <w:t>Panel de uso y soporte para el administrador de la plataforma; asistente de IA con presupuesto y clave por empresa.</w:t>
      </w:r>
    </w:p>
    <w:p>
      <w:pPr>
        <w:pStyle w:val="ListBullet"/>
      </w:pPr>
      <w:r>
        <w:t>Demo pública con datos ficticios, sin contraseña.</w:t>
      </w:r>
    </w:p>
    <w:p>
      <w:pPr>
        <w:pStyle w:val="Heading2"/>
      </w:pPr>
      <w:r>
        <w:t>4.2 Excluido (decisión consciente)</w:t>
      </w:r>
    </w:p>
    <w:p>
      <w:pPr>
        <w:pStyle w:val="ListBullet"/>
      </w:pPr>
      <w:r>
        <w:t>Pasarela de pago y alta de clientes en línea (el diseño está documentado, no construido).</w:t>
      </w:r>
    </w:p>
    <w:p>
      <w:pPr>
        <w:pStyle w:val="ListBullet"/>
      </w:pPr>
      <w:r>
        <w:t>Búsqueda de empresas reales con Google Places (hoy devuelve datos de demostración hasta cargar la clave).</w:t>
      </w:r>
    </w:p>
    <w:p>
      <w:pPr>
        <w:pStyle w:val="ListBullet"/>
      </w:pPr>
      <w:r>
        <w:t>Aplicación móvil nativa (la interfaz es responsiva) y política de privacidad revisada por un abogado.</w:t>
      </w:r>
    </w:p>
    <w:p>
      <w:pPr>
        <w:pStyle w:val="Heading2"/>
      </w:pPr>
      <w:r>
        <w:t>4.3 Entregables principales</w:t>
      </w:r>
    </w:p>
    <w:tbl>
      <w:tblPr>
        <w:tblW w:type="dxa" w:w="9972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1814"/>
        <w:gridCol w:w="4535"/>
        <w:gridCol w:w="3622"/>
      </w:tblGrid>
      <w:tr>
        <w:trPr>
          <w:cantSplit/>
          <w:tblHeader/>
        </w:trPr>
        <w:tc>
          <w:tcPr>
            <w:tcW w:type="dxa" w:w="1814"/>
            <w:shd w:val="clear" w:color="auto" w:fill="3730A3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Entregable</w:t>
            </w:r>
          </w:p>
        </w:tc>
        <w:tc>
          <w:tcPr>
            <w:tcW w:type="dxa" w:w="4535"/>
            <w:shd w:val="clear" w:color="auto" w:fill="3730A3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3623"/>
            <w:shd w:val="clear" w:color="auto" w:fill="3730A3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Dónde está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sz w:val="18"/>
              </w:rPr>
              <w:t>Aplicación web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sz w:val="18"/>
              </w:rPr>
              <w:t>CRM con login, roles, mapa, pipeline, catálogo y asistente</w:t>
            </w:r>
          </w:p>
        </w:tc>
        <w:tc>
          <w:tcPr>
            <w:tcW w:type="dxa" w:w="3623"/>
            <w:vAlign w:val="top"/>
          </w:tcPr>
          <w:p>
            <w:pPr>
              <w:spacing w:after="0"/>
            </w:pPr>
            <w:r>
              <w:rPr>
                <w:sz w:val="18"/>
              </w:rPr>
              <w:t xml:space="preserve">https://revela-henna.vercel.app (demo: </w:t>
            </w:r>
            <w:r>
              <w:rPr>
                <w:rFonts w:ascii="Consolas" w:hAnsi="Consolas" w:eastAsia="Consolas"/>
                <w:color w:val="9D174D"/>
                <w:sz w:val="17"/>
              </w:rPr>
              <w:t>/?demo</w:t>
            </w:r>
            <w:r>
              <w:rPr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1814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Base de datos</w:t>
            </w:r>
          </w:p>
        </w:tc>
        <w:tc>
          <w:tcPr>
            <w:tcW w:type="dxa" w:w="4535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32 migraciones y 25 tablas con seguridad por empresa (RLS)</w:t>
            </w:r>
          </w:p>
        </w:tc>
        <w:tc>
          <w:tcPr>
            <w:tcW w:type="dxa" w:w="3623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9D174D"/>
                <w:sz w:val="17"/>
              </w:rPr>
              <w:t>supabase/migrations/</w:t>
            </w:r>
            <w:r>
              <w:rPr>
                <w:sz w:val="18"/>
              </w:rPr>
              <w:t xml:space="preserve"> del repositorio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sz w:val="18"/>
              </w:rPr>
              <w:t>Código fuente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sz w:val="18"/>
              </w:rPr>
              <w:t>React, TypeScript y Supabase, con historial de commits</w:t>
            </w:r>
          </w:p>
        </w:tc>
        <w:tc>
          <w:tcPr>
            <w:tcW w:type="dxa" w:w="3623"/>
            <w:vAlign w:val="top"/>
          </w:tcPr>
          <w:p>
            <w:pPr>
              <w:spacing w:after="0"/>
            </w:pPr>
            <w:r>
              <w:rPr>
                <w:sz w:val="18"/>
              </w:rPr>
              <w:t>github.com/YairCosta/CAPSTONE_003D</w:t>
            </w:r>
          </w:p>
        </w:tc>
      </w:tr>
      <w:tr>
        <w:trPr>
          <w:cantSplit/>
        </w:trPr>
        <w:tc>
          <w:tcPr>
            <w:tcW w:type="dxa" w:w="1814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Pruebas automáticas</w:t>
            </w:r>
          </w:p>
        </w:tc>
        <w:tc>
          <w:tcPr>
            <w:tcW w:type="dxa" w:w="4535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727 comprobaciones en 9 suites, incluidos ataques contra la base</w:t>
            </w:r>
          </w:p>
        </w:tc>
        <w:tc>
          <w:tcPr>
            <w:tcW w:type="dxa" w:w="3623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9D174D"/>
                <w:sz w:val="17"/>
              </w:rPr>
              <w:t>npm run test:*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sz w:val="18"/>
              </w:rPr>
              <w:t>Contenedor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sz w:val="18"/>
              </w:rPr>
              <w:t>Dockerfile y docker-compose para levantar la app con un comando</w:t>
            </w:r>
          </w:p>
        </w:tc>
        <w:tc>
          <w:tcPr>
            <w:tcW w:type="dxa" w:w="3623"/>
            <w:vAlign w:val="top"/>
          </w:tcPr>
          <w:p>
            <w:pPr>
              <w:spacing w:after="0"/>
            </w:pPr>
            <w:r>
              <w:rPr>
                <w:sz w:val="18"/>
              </w:rPr>
              <w:t>Raíz del repositorio</w:t>
            </w:r>
          </w:p>
        </w:tc>
      </w:tr>
      <w:tr>
        <w:trPr>
          <w:cantSplit/>
        </w:trPr>
        <w:tc>
          <w:tcPr>
            <w:tcW w:type="dxa" w:w="1814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Documentación</w:t>
            </w:r>
          </w:p>
        </w:tc>
        <w:tc>
          <w:tcPr>
            <w:tcW w:type="dxa" w:w="4535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Documentos de gestión (estos) y 7 documentos técnicos en Markdown</w:t>
            </w:r>
          </w:p>
        </w:tc>
        <w:tc>
          <w:tcPr>
            <w:tcW w:type="dxa" w:w="3623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9D174D"/>
                <w:sz w:val="17"/>
              </w:rPr>
              <w:t>Fase 2/Evidencias Proyecto/Evidencias de documentación</w:t>
            </w:r>
          </w:p>
        </w:tc>
      </w:tr>
    </w:tbl>
    <w:p>
      <w:pPr>
        <w:spacing w:after="0" w:before="0" w:line="120" w:lineRule="exact"/>
      </w:pPr>
      <w:r>
        <w:rPr>
          <w:sz w:val="12"/>
        </w:rPr>
      </w:r>
    </w:p>
    <w:p>
      <w:pPr>
        <w:pStyle w:val="Heading1"/>
      </w:pPr>
      <w:r>
        <w:t>5. Requisitos de alto nivel</w:t>
      </w:r>
    </w:p>
    <w:p>
      <w:pPr>
        <w:pStyle w:val="Heading2"/>
      </w:pPr>
      <w:r>
        <w:t>Funcionales</w:t>
      </w:r>
    </w:p>
    <w:p>
      <w:pPr>
        <w:pStyle w:val="ListBullet"/>
      </w:pPr>
      <w:r>
        <w:t>Capturar, avanzar y contactar leads; agenda de seguimientos.</w:t>
      </w:r>
    </w:p>
    <w:p>
      <w:pPr>
        <w:pStyle w:val="ListBullet"/>
      </w:pPr>
      <w:r>
        <w:t>Ver KPI y un mapa de zonas por dinero ganado y cierres; catálogo con precios por país.</w:t>
      </w:r>
    </w:p>
    <w:p>
      <w:pPr>
        <w:pStyle w:val="ListBullet"/>
      </w:pPr>
      <w:r>
        <w:t>Administrar usuarios, países, divisas y etapas; revisar y revertir el historial de cambios.</w:t>
      </w:r>
    </w:p>
    <w:p>
      <w:pPr>
        <w:pStyle w:val="ListBullet"/>
      </w:pPr>
      <w:r>
        <w:t>Registrar y resolver las solicitudes de los titulares de datos (acceso, rectificación, supresión, oposición).</w:t>
      </w:r>
    </w:p>
    <w:p>
      <w:pPr>
        <w:pStyle w:val="ListBullet"/>
      </w:pPr>
      <w:r>
        <w:t>Operar varios CRMs desde una plataforma (crear, suspender, exportar) sin ver los datos de sus leads.</w:t>
      </w:r>
    </w:p>
    <w:p>
      <w:pPr>
        <w:pStyle w:val="Heading2"/>
      </w:pPr>
      <w:r>
        <w:t>No funcionales</w:t>
      </w:r>
    </w:p>
    <w:p>
      <w:pPr>
        <w:pStyle w:val="ListBullet"/>
      </w:pPr>
      <w:r>
        <w:rPr>
          <w:b/>
        </w:rPr>
        <w:t>Seguridad:</w:t>
      </w:r>
      <w:r>
        <w:t xml:space="preserve"> ninguna empresa ve datos de otra (RLS y triggers); ninguna clave en el repositorio ni en lo publicado.</w:t>
      </w:r>
    </w:p>
    <w:p>
      <w:pPr>
        <w:pStyle w:val="ListBullet"/>
      </w:pPr>
      <w:r>
        <w:rPr>
          <w:b/>
        </w:rPr>
        <w:t>Privacidad:</w:t>
      </w:r>
      <w:r>
        <w:t xml:space="preserve"> Ley 21.719; ubicación por zona, nunca por coordenada; auditoría que no guarda datos personales.</w:t>
      </w:r>
    </w:p>
    <w:p>
      <w:pPr>
        <w:pStyle w:val="ListBullet"/>
      </w:pPr>
      <w:r>
        <w:rPr>
          <w:b/>
        </w:rPr>
        <w:t>Rendimiento:</w:t>
      </w:r>
      <w:r>
        <w:t xml:space="preserve"> primera pantalla en menos de 2,5 s (medido: 204 ms en local); API bajo 100 ms.</w:t>
      </w:r>
    </w:p>
    <w:p>
      <w:pPr>
        <w:pStyle w:val="ListBullet"/>
      </w:pPr>
      <w:r>
        <w:rPr>
          <w:b/>
        </w:rPr>
        <w:t>Portabilidad:</w:t>
      </w:r>
      <w:r>
        <w:t xml:space="preserve"> corre igual en Vercel, en local y en un contenedor. Detalle en el documento 10 del repositorio.</w:t>
      </w:r>
    </w:p>
    <w:p>
      <w:pPr>
        <w:pStyle w:val="Heading1"/>
      </w:pPr>
      <w:r>
        <w:t>6. Hitos y cronograma de alto nivel</w:t>
      </w:r>
    </w:p>
    <w:tbl>
      <w:tblPr>
        <w:tblW w:type="dxa" w:w="9972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5782"/>
        <w:gridCol w:w="2154"/>
        <w:gridCol w:w="2035"/>
      </w:tblGrid>
      <w:tr>
        <w:trPr>
          <w:cantSplit/>
          <w:tblHeader/>
        </w:trPr>
        <w:tc>
          <w:tcPr>
            <w:tcW w:type="dxa" w:w="5783"/>
            <w:shd w:val="clear" w:color="auto" w:fill="3730A3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Hito</w:t>
            </w:r>
          </w:p>
        </w:tc>
        <w:tc>
          <w:tcPr>
            <w:tcW w:type="dxa" w:w="2154"/>
            <w:shd w:val="clear" w:color="auto" w:fill="3730A3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2035"/>
            <w:shd w:val="clear" w:color="auto" w:fill="3730A3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Estado</w:t>
            </w:r>
          </w:p>
        </w:tc>
      </w:tr>
      <w:tr>
        <w:trPr>
          <w:cantSplit/>
        </w:trPr>
        <w:tc>
          <w:tcPr>
            <w:tcW w:type="dxa" w:w="5783"/>
            <w:vAlign w:val="top"/>
          </w:tcPr>
          <w:p>
            <w:pPr>
              <w:spacing w:after="0"/>
            </w:pPr>
            <w:r>
              <w:rPr>
                <w:sz w:val="18"/>
              </w:rPr>
              <w:t>Primer commit del repositorio con el producto base (entonces GeoCRM) y cambio de marca a Revela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  <w:jc w:val="center"/>
            </w:pPr>
            <w:r>
              <w:rPr>
                <w:sz w:val="18"/>
              </w:rPr>
              <w:t>23-09-2026</w:t>
            </w:r>
          </w:p>
        </w:tc>
        <w:tc>
          <w:tcPr>
            <w:tcW w:type="dxa" w:w="2035"/>
            <w:vAlign w:val="top"/>
            <w:shd w:val="clear" w:color="auto" w:fill="DCFCE7"/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8"/>
              </w:rPr>
              <w:t>Cumplido</w:t>
            </w:r>
          </w:p>
        </w:tc>
      </w:tr>
      <w:tr>
        <w:trPr>
          <w:cantSplit/>
        </w:trPr>
        <w:tc>
          <w:tcPr>
            <w:tcW w:type="dxa" w:w="5783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Base de datos real en Supabase y conexión por etapas (login, equipos, trabajo diario, exportación)</w:t>
            </w:r>
          </w:p>
        </w:tc>
        <w:tc>
          <w:tcPr>
            <w:tcW w:type="dxa" w:w="2154"/>
            <w:vAlign w:val="top"/>
            <w:shd w:val="clear" w:color="auto" w:fill="F8FAFC"/>
          </w:tcPr>
          <w:p>
            <w:pPr>
              <w:spacing w:after="0"/>
              <w:jc w:val="center"/>
            </w:pPr>
            <w:r>
              <w:rPr>
                <w:sz w:val="18"/>
              </w:rPr>
              <w:t>25 y 26-09-2026</w:t>
            </w:r>
          </w:p>
        </w:tc>
        <w:tc>
          <w:tcPr>
            <w:tcW w:type="dxa" w:w="2035"/>
            <w:vAlign w:val="top"/>
            <w:shd w:val="clear" w:color="auto" w:fill="DCFCE7"/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8"/>
              </w:rPr>
              <w:t>Cumplido</w:t>
            </w:r>
          </w:p>
        </w:tc>
      </w:tr>
      <w:tr>
        <w:trPr>
          <w:cantSplit/>
        </w:trPr>
        <w:tc>
          <w:tcPr>
            <w:tcW w:type="dxa" w:w="5783"/>
            <w:vAlign w:val="top"/>
          </w:tcPr>
          <w:p>
            <w:pPr>
              <w:spacing w:after="0"/>
            </w:pPr>
            <w:r>
              <w:rPr>
                <w:sz w:val="18"/>
              </w:rPr>
              <w:t>Publicación en Vercel, revisión de seguridad y apertura a 19 países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  <w:jc w:val="center"/>
            </w:pPr>
            <w:r>
              <w:rPr>
                <w:sz w:val="18"/>
              </w:rPr>
              <w:t>27-09-2026</w:t>
            </w:r>
          </w:p>
        </w:tc>
        <w:tc>
          <w:tcPr>
            <w:tcW w:type="dxa" w:w="2035"/>
            <w:vAlign w:val="top"/>
            <w:shd w:val="clear" w:color="auto" w:fill="DCFCE7"/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8"/>
              </w:rPr>
              <w:t>Cumplido</w:t>
            </w:r>
          </w:p>
        </w:tc>
      </w:tr>
      <w:tr>
        <w:trPr>
          <w:cantSplit/>
        </w:trPr>
        <w:tc>
          <w:tcPr>
            <w:tcW w:type="dxa" w:w="5783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Rendimiento, soporte a la plataforma y asistente de IA con control de costo</w:t>
            </w:r>
          </w:p>
        </w:tc>
        <w:tc>
          <w:tcPr>
            <w:tcW w:type="dxa" w:w="2154"/>
            <w:vAlign w:val="top"/>
            <w:shd w:val="clear" w:color="auto" w:fill="F8FAFC"/>
          </w:tcPr>
          <w:p>
            <w:pPr>
              <w:spacing w:after="0"/>
              <w:jc w:val="center"/>
            </w:pPr>
            <w:r>
              <w:rPr>
                <w:sz w:val="18"/>
              </w:rPr>
              <w:t>28 al 30-09-2026</w:t>
            </w:r>
          </w:p>
        </w:tc>
        <w:tc>
          <w:tcPr>
            <w:tcW w:type="dxa" w:w="2035"/>
            <w:vAlign w:val="top"/>
            <w:shd w:val="clear" w:color="auto" w:fill="DCFCE7"/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8"/>
              </w:rPr>
              <w:t>Cumplido</w:t>
            </w:r>
          </w:p>
        </w:tc>
      </w:tr>
      <w:tr>
        <w:trPr>
          <w:cantSplit/>
        </w:trPr>
        <w:tc>
          <w:tcPr>
            <w:tcW w:type="dxa" w:w="5783"/>
            <w:vAlign w:val="top"/>
          </w:tcPr>
          <w:p>
            <w:pPr>
              <w:spacing w:after="0"/>
            </w:pPr>
            <w:r>
              <w:rPr>
                <w:sz w:val="18"/>
              </w:rPr>
              <w:t>Repositorio de evaluación con la documentación del instructivo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  <w:jc w:val="center"/>
            </w:pPr>
            <w:r>
              <w:rPr>
                <w:sz w:val="18"/>
              </w:rPr>
              <w:t>30-09-2026</w:t>
            </w:r>
          </w:p>
        </w:tc>
        <w:tc>
          <w:tcPr>
            <w:tcW w:type="dxa" w:w="2035"/>
            <w:vAlign w:val="top"/>
            <w:shd w:val="clear" w:color="auto" w:fill="DCFCE7"/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8"/>
              </w:rPr>
              <w:t>Cumplido</w:t>
            </w:r>
          </w:p>
        </w:tc>
      </w:tr>
      <w:tr>
        <w:trPr>
          <w:cantSplit/>
        </w:trPr>
        <w:tc>
          <w:tcPr>
            <w:tcW w:type="dxa" w:w="5783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Documentación de metodología para la clase (este conjunto de documentos)</w:t>
            </w:r>
          </w:p>
        </w:tc>
        <w:tc>
          <w:tcPr>
            <w:tcW w:type="dxa" w:w="2154"/>
            <w:vAlign w:val="top"/>
            <w:shd w:val="clear" w:color="auto" w:fill="F8FAFC"/>
          </w:tcPr>
          <w:p>
            <w:pPr>
              <w:spacing w:after="0"/>
              <w:jc w:val="center"/>
            </w:pPr>
            <w:r>
              <w:rPr>
                <w:sz w:val="18"/>
              </w:rPr>
              <w:t>05-10-2026</w:t>
            </w:r>
          </w:p>
        </w:tc>
        <w:tc>
          <w:tcPr>
            <w:tcW w:type="dxa" w:w="2035"/>
            <w:vAlign w:val="top"/>
            <w:shd w:val="clear" w:color="auto" w:fill="DCFCE7"/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8"/>
              </w:rPr>
              <w:t>Listo para entregar</w:t>
            </w:r>
          </w:p>
        </w:tc>
      </w:tr>
      <w:tr>
        <w:trPr>
          <w:cantSplit/>
        </w:trPr>
        <w:tc>
          <w:tcPr>
            <w:tcW w:type="dxa" w:w="5783"/>
            <w:vAlign w:val="top"/>
          </w:tcPr>
          <w:p>
            <w:pPr>
              <w:spacing w:after="0"/>
            </w:pPr>
            <w:r>
              <w:rPr>
                <w:sz w:val="18"/>
              </w:rPr>
              <w:t>Evidencias de la Fase 1 (autoevaluación, formativa, guía de definición y presentación)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  <w:jc w:val="center"/>
            </w:pPr>
            <w:r>
              <w:rPr>
                <w:sz w:val="18"/>
              </w:rPr>
              <w:t>06-10-2026</w:t>
            </w:r>
          </w:p>
        </w:tc>
        <w:tc>
          <w:tcPr>
            <w:tcW w:type="dxa" w:w="2035"/>
            <w:vAlign w:val="top"/>
            <w:shd w:val="clear" w:color="auto" w:fill="DBEAFE"/>
          </w:tcPr>
          <w:p>
            <w:pPr>
              <w:spacing w:after="0"/>
              <w:jc w:val="center"/>
            </w:pPr>
            <w:r>
              <w:rPr>
                <w:b/>
                <w:color w:val="1E40AF"/>
                <w:sz w:val="18"/>
              </w:rPr>
              <w:t>En curso</w:t>
            </w:r>
          </w:p>
        </w:tc>
      </w:tr>
      <w:tr>
        <w:trPr>
          <w:cantSplit/>
        </w:trPr>
        <w:tc>
          <w:tcPr>
            <w:tcW w:type="dxa" w:w="5783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Vigencia de la Ley 21.719 (obligación legal que el producto debe cumplir)</w:t>
            </w:r>
          </w:p>
        </w:tc>
        <w:tc>
          <w:tcPr>
            <w:tcW w:type="dxa" w:w="2154"/>
            <w:vAlign w:val="top"/>
            <w:shd w:val="clear" w:color="auto" w:fill="F8FAFC"/>
          </w:tcPr>
          <w:p>
            <w:pPr>
              <w:spacing w:after="0"/>
              <w:jc w:val="center"/>
            </w:pPr>
            <w:r>
              <w:rPr>
                <w:sz w:val="18"/>
              </w:rPr>
              <w:t>01-12-2026</w:t>
            </w:r>
          </w:p>
        </w:tc>
        <w:tc>
          <w:tcPr>
            <w:tcW w:type="dxa" w:w="2035"/>
            <w:vAlign w:val="top"/>
            <w:shd w:val="clear" w:color="auto" w:fill="E2E8F0"/>
          </w:tcPr>
          <w:p>
            <w:pPr>
              <w:spacing w:after="0"/>
              <w:jc w:val="center"/>
            </w:pPr>
            <w:r>
              <w:rPr>
                <w:b/>
                <w:color w:val="334155"/>
                <w:sz w:val="18"/>
              </w:rPr>
              <w:t>Hito externo</w:t>
            </w:r>
          </w:p>
        </w:tc>
      </w:tr>
      <w:tr>
        <w:trPr>
          <w:cantSplit/>
        </w:trPr>
        <w:tc>
          <w:tcPr>
            <w:tcW w:type="dxa" w:w="5783"/>
            <w:vAlign w:val="top"/>
          </w:tcPr>
          <w:p>
            <w:pPr>
              <w:spacing w:after="0"/>
            </w:pPr>
            <w:r>
              <w:rPr>
                <w:sz w:val="18"/>
              </w:rPr>
              <w:t>Entregas de las Fases 2 y 3 de la asignatura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  <w:jc w:val="center"/>
            </w:pPr>
            <w:r>
              <w:rPr>
                <w:sz w:val="18"/>
              </w:rPr>
              <w:t>Según calendario de la docente</w:t>
            </w:r>
          </w:p>
        </w:tc>
        <w:tc>
          <w:tcPr>
            <w:tcW w:type="dxa" w:w="2035"/>
            <w:vAlign w:val="top"/>
            <w:shd w:val="clear" w:color="auto" w:fill="FEF3C7"/>
          </w:tcPr>
          <w:p>
            <w:pPr>
              <w:spacing w:after="0"/>
              <w:jc w:val="center"/>
            </w:pPr>
            <w:r>
              <w:rPr>
                <w:b/>
                <w:color w:val="92400E"/>
                <w:sz w:val="18"/>
              </w:rPr>
              <w:t>Pendiente</w:t>
            </w:r>
          </w:p>
        </w:tc>
      </w:tr>
    </w:tbl>
    <w:p>
      <w:pPr>
        <w:spacing w:after="0" w:before="0" w:line="120" w:lineRule="exact"/>
      </w:pPr>
      <w:r>
        <w:rPr>
          <w:sz w:val="12"/>
        </w:rPr>
      </w:r>
    </w:p>
    <w:p>
      <w:pPr>
        <w:pStyle w:val="Heading1"/>
      </w:pPr>
      <w:r>
        <w:t>7. Interesados</w:t>
      </w:r>
    </w:p>
    <w:tbl>
      <w:tblPr>
        <w:tblW w:type="dxa" w:w="9972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2211"/>
        <w:gridCol w:w="2721"/>
        <w:gridCol w:w="3514"/>
        <w:gridCol w:w="1525"/>
      </w:tblGrid>
      <w:tr>
        <w:trPr>
          <w:cantSplit/>
          <w:tblHeader/>
        </w:trPr>
        <w:tc>
          <w:tcPr>
            <w:tcW w:type="dxa" w:w="2211"/>
            <w:shd w:val="clear" w:color="auto" w:fill="3730A3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Interesado</w:t>
            </w:r>
          </w:p>
        </w:tc>
        <w:tc>
          <w:tcPr>
            <w:tcW w:type="dxa" w:w="2721"/>
            <w:shd w:val="clear" w:color="auto" w:fill="3730A3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Rol en el proyecto</w:t>
            </w:r>
          </w:p>
        </w:tc>
        <w:tc>
          <w:tcPr>
            <w:tcW w:type="dxa" w:w="3515"/>
            <w:shd w:val="clear" w:color="auto" w:fill="3730A3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Interés o expectativa</w:t>
            </w:r>
          </w:p>
        </w:tc>
        <w:tc>
          <w:tcPr>
            <w:tcW w:type="dxa" w:w="1525"/>
            <w:shd w:val="clear" w:color="auto" w:fill="3730A3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Influencia</w:t>
            </w:r>
          </w:p>
        </w:tc>
      </w:tr>
      <w:tr>
        <w:trPr>
          <w:cantSplit/>
        </w:trPr>
        <w:tc>
          <w:tcPr>
            <w:tcW w:type="dxa" w:w="2211"/>
            <w:vAlign w:val="top"/>
          </w:tcPr>
          <w:p>
            <w:pPr>
              <w:spacing w:after="0"/>
            </w:pPr>
            <w:r>
              <w:rPr>
                <w:sz w:val="18"/>
              </w:rPr>
              <w:t>Yair Hamir Costa Pérez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</w:pPr>
            <w:r>
              <w:rPr>
                <w:sz w:val="18"/>
              </w:rPr>
              <w:t>Gerente de proyecto, Product Owner y desarrollador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8"/>
              </w:rPr>
              <w:t>Entregar un producto funcional y cumplir la asignatura</w:t>
            </w:r>
          </w:p>
        </w:tc>
        <w:tc>
          <w:tcPr>
            <w:tcW w:type="dxa" w:w="1525"/>
            <w:vAlign w:val="top"/>
          </w:tcPr>
          <w:p>
            <w:pPr>
              <w:spacing w:after="0"/>
            </w:pPr>
            <w:r>
              <w:rPr>
                <w:sz w:val="18"/>
              </w:rPr>
              <w:t>Alta</w:t>
            </w:r>
          </w:p>
        </w:tc>
      </w:tr>
      <w:tr>
        <w:trPr>
          <w:cantSplit/>
        </w:trPr>
        <w:tc>
          <w:tcPr>
            <w:tcW w:type="dxa" w:w="2211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Rocío Contreras</w:t>
            </w:r>
          </w:p>
        </w:tc>
        <w:tc>
          <w:tcPr>
            <w:tcW w:type="dxa" w:w="2721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Docente CAPSTONE; patrocinio académico y evaluación</w:t>
            </w:r>
          </w:p>
        </w:tc>
        <w:tc>
          <w:tcPr>
            <w:tcW w:type="dxa" w:w="3515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Cumplimiento del instructivo y calidad técnica</w:t>
            </w:r>
          </w:p>
        </w:tc>
        <w:tc>
          <w:tcPr>
            <w:tcW w:type="dxa" w:w="1525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Alta</w:t>
            </w:r>
          </w:p>
        </w:tc>
      </w:tr>
      <w:tr>
        <w:trPr>
          <w:cantSplit/>
        </w:trPr>
        <w:tc>
          <w:tcPr>
            <w:tcW w:type="dxa" w:w="2211"/>
            <w:vAlign w:val="top"/>
          </w:tcPr>
          <w:p>
            <w:pPr>
              <w:spacing w:after="0"/>
            </w:pPr>
            <w:r>
              <w:rPr>
                <w:sz w:val="18"/>
              </w:rPr>
              <w:t>Empresa piloto (gerencia)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</w:pPr>
            <w:r>
              <w:rPr>
                <w:sz w:val="18"/>
              </w:rPr>
              <w:t>Cliente piloto; usa el producto en producción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8"/>
              </w:rPr>
              <w:t>Gestionar sus leads, ver dónde vende y acotar el gasto de IA</w:t>
            </w:r>
          </w:p>
        </w:tc>
        <w:tc>
          <w:tcPr>
            <w:tcW w:type="dxa" w:w="1525"/>
            <w:vAlign w:val="top"/>
          </w:tcPr>
          <w:p>
            <w:pPr>
              <w:spacing w:after="0"/>
            </w:pPr>
            <w:r>
              <w:rPr>
                <w:sz w:val="18"/>
              </w:rPr>
              <w:t>Media-alta</w:t>
            </w:r>
          </w:p>
        </w:tc>
      </w:tr>
      <w:tr>
        <w:trPr>
          <w:cantSplit/>
        </w:trPr>
        <w:tc>
          <w:tcPr>
            <w:tcW w:type="dxa" w:w="2211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Equipo comercial de la empresa piloto</w:t>
            </w:r>
          </w:p>
        </w:tc>
        <w:tc>
          <w:tcPr>
            <w:tcW w:type="dxa" w:w="2721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Usuarios base (vendedores)</w:t>
            </w:r>
          </w:p>
        </w:tc>
        <w:tc>
          <w:tcPr>
            <w:tcW w:type="dxa" w:w="3515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Capturar y contactar leads rápido</w:t>
            </w:r>
          </w:p>
        </w:tc>
        <w:tc>
          <w:tcPr>
            <w:tcW w:type="dxa" w:w="1525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Media</w:t>
            </w:r>
          </w:p>
        </w:tc>
      </w:tr>
      <w:tr>
        <w:trPr>
          <w:cantSplit/>
        </w:trPr>
        <w:tc>
          <w:tcPr>
            <w:tcW w:type="dxa" w:w="2211"/>
            <w:vAlign w:val="top"/>
          </w:tcPr>
          <w:p>
            <w:pPr>
              <w:spacing w:after="0"/>
            </w:pPr>
            <w:r>
              <w:rPr>
                <w:sz w:val="18"/>
              </w:rPr>
              <w:t>Titulares de datos (los leads)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</w:pPr>
            <w:r>
              <w:rPr>
                <w:sz w:val="18"/>
              </w:rPr>
              <w:t>Terceros cuyos datos se almacenan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8"/>
              </w:rPr>
              <w:t>Que se respeten sus derechos (Ley 21.719)</w:t>
            </w:r>
          </w:p>
        </w:tc>
        <w:tc>
          <w:tcPr>
            <w:tcW w:type="dxa" w:w="1525"/>
            <w:vAlign w:val="top"/>
          </w:tcPr>
          <w:p>
            <w:pPr>
              <w:spacing w:after="0"/>
            </w:pPr>
            <w:r>
              <w:rPr>
                <w:sz w:val="18"/>
              </w:rPr>
              <w:t>Media (regulatoria)</w:t>
            </w:r>
          </w:p>
        </w:tc>
      </w:tr>
      <w:tr>
        <w:trPr>
          <w:cantSplit/>
        </w:trPr>
        <w:tc>
          <w:tcPr>
            <w:tcW w:type="dxa" w:w="2211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Duoc UC</w:t>
            </w:r>
          </w:p>
        </w:tc>
        <w:tc>
          <w:tcPr>
            <w:tcW w:type="dxa" w:w="2721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Institución</w:t>
            </w:r>
          </w:p>
        </w:tc>
        <w:tc>
          <w:tcPr>
            <w:tcW w:type="dxa" w:w="3515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Resultados académicos de la asignatura</w:t>
            </w:r>
          </w:p>
        </w:tc>
        <w:tc>
          <w:tcPr>
            <w:tcW w:type="dxa" w:w="1525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Baja</w:t>
            </w:r>
          </w:p>
        </w:tc>
      </w:tr>
    </w:tbl>
    <w:p>
      <w:pPr>
        <w:spacing w:after="0" w:before="0" w:line="120" w:lineRule="exact"/>
      </w:pPr>
      <w:r>
        <w:rPr>
          <w:sz w:val="12"/>
        </w:rPr>
      </w:r>
    </w:p>
    <w:p>
      <w:pPr>
        <w:pStyle w:val="Heading1"/>
      </w:pPr>
      <w:r>
        <w:t>8. Organización y roles</w:t>
      </w:r>
    </w:p>
    <w:tbl>
      <w:tblPr>
        <w:tblW w:type="dxa" w:w="9972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2834"/>
        <w:gridCol w:w="2267"/>
        <w:gridCol w:w="4869"/>
      </w:tblGrid>
      <w:tr>
        <w:trPr>
          <w:cantSplit/>
          <w:tblHeader/>
        </w:trPr>
        <w:tc>
          <w:tcPr>
            <w:tcW w:type="dxa" w:w="2835"/>
            <w:shd w:val="clear" w:color="auto" w:fill="3730A3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Rol</w:t>
            </w:r>
          </w:p>
        </w:tc>
        <w:tc>
          <w:tcPr>
            <w:tcW w:type="dxa" w:w="2268"/>
            <w:shd w:val="clear" w:color="auto" w:fill="3730A3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Responsable</w:t>
            </w:r>
          </w:p>
        </w:tc>
        <w:tc>
          <w:tcPr>
            <w:tcW w:type="dxa" w:w="4870"/>
            <w:shd w:val="clear" w:color="auto" w:fill="3730A3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Responsabilidades</w:t>
            </w:r>
          </w:p>
        </w:tc>
      </w:tr>
      <w:tr>
        <w:trPr>
          <w:cantSplit/>
        </w:trPr>
        <w:tc>
          <w:tcPr>
            <w:tcW w:type="dxa" w:w="2835"/>
            <w:vAlign w:val="top"/>
          </w:tcPr>
          <w:p>
            <w:pPr>
              <w:keepNext/>
              <w:spacing w:after="0"/>
            </w:pPr>
            <w:r>
              <w:rPr>
                <w:sz w:val="18"/>
              </w:rPr>
              <w:t>Gerente de proyecto / Product Owner</w:t>
            </w:r>
          </w:p>
        </w:tc>
        <w:tc>
          <w:tcPr>
            <w:tcW w:type="dxa" w:w="2268"/>
            <w:vAlign w:val="top"/>
          </w:tcPr>
          <w:p>
            <w:pPr>
              <w:keepNext/>
              <w:spacing w:after="0"/>
            </w:pPr>
            <w:r>
              <w:rPr>
                <w:sz w:val="18"/>
              </w:rPr>
              <w:t>Yair Hamir Costa Pérez</w:t>
            </w:r>
          </w:p>
        </w:tc>
        <w:tc>
          <w:tcPr>
            <w:tcW w:type="dxa" w:w="4870"/>
            <w:vAlign w:val="top"/>
          </w:tcPr>
          <w:p>
            <w:pPr>
              <w:keepNext/>
              <w:spacing w:after="0"/>
            </w:pPr>
            <w:r>
              <w:rPr>
                <w:sz w:val="18"/>
              </w:rPr>
              <w:t>Define y prioriza el backlog, planifica las iteraciones y responde ante la docente</w:t>
            </w:r>
          </w:p>
        </w:tc>
      </w:tr>
      <w:tr>
        <w:trPr>
          <w:cantSplit/>
        </w:trPr>
        <w:tc>
          <w:tcPr>
            <w:tcW w:type="dxa" w:w="2835"/>
            <w:vAlign w:val="top"/>
            <w:shd w:val="clear" w:color="auto" w:fill="F8FAFC"/>
          </w:tcPr>
          <w:p>
            <w:pPr>
              <w:keepNext/>
              <w:spacing w:after="0"/>
            </w:pPr>
            <w:r>
              <w:rPr>
                <w:sz w:val="18"/>
              </w:rPr>
              <w:t>Desarrollador y calidad</w:t>
            </w:r>
          </w:p>
        </w:tc>
        <w:tc>
          <w:tcPr>
            <w:tcW w:type="dxa" w:w="2268"/>
            <w:vAlign w:val="top"/>
            <w:shd w:val="clear" w:color="auto" w:fill="F8FAFC"/>
          </w:tcPr>
          <w:p>
            <w:pPr>
              <w:keepNext/>
              <w:spacing w:after="0"/>
            </w:pPr>
            <w:r>
              <w:rPr>
                <w:sz w:val="18"/>
              </w:rPr>
              <w:t>Yair Hamir Costa Pérez</w:t>
            </w:r>
          </w:p>
        </w:tc>
        <w:tc>
          <w:tcPr>
            <w:tcW w:type="dxa" w:w="4870"/>
            <w:vAlign w:val="top"/>
            <w:shd w:val="clear" w:color="auto" w:fill="F8FAFC"/>
          </w:tcPr>
          <w:p>
            <w:pPr>
              <w:keepNext/>
              <w:spacing w:after="0"/>
            </w:pPr>
            <w:r>
              <w:rPr>
                <w:sz w:val="18"/>
              </w:rPr>
              <w:t>Construye, prueba y documenta; aplica la Definition of Done</w:t>
            </w:r>
          </w:p>
        </w:tc>
      </w:tr>
      <w:tr>
        <w:trPr>
          <w:cantSplit/>
        </w:trPr>
        <w:tc>
          <w:tcPr>
            <w:tcW w:type="dxa" w:w="2835"/>
            <w:vAlign w:val="top"/>
          </w:tcPr>
          <w:p>
            <w:pPr>
              <w:keepNext/>
              <w:spacing w:after="0"/>
            </w:pPr>
            <w:r>
              <w:rPr>
                <w:sz w:val="18"/>
              </w:rPr>
              <w:t>Operaciones y administración de plataforma</w:t>
            </w:r>
          </w:p>
        </w:tc>
        <w:tc>
          <w:tcPr>
            <w:tcW w:type="dxa" w:w="2268"/>
            <w:vAlign w:val="top"/>
          </w:tcPr>
          <w:p>
            <w:pPr>
              <w:keepNext/>
              <w:spacing w:after="0"/>
            </w:pPr>
            <w:r>
              <w:rPr>
                <w:sz w:val="18"/>
              </w:rPr>
              <w:t>Yair Hamir Costa Pérez</w:t>
            </w:r>
          </w:p>
        </w:tc>
        <w:tc>
          <w:tcPr>
            <w:tcW w:type="dxa" w:w="4870"/>
            <w:vAlign w:val="top"/>
          </w:tcPr>
          <w:p>
            <w:pPr>
              <w:keepNext/>
              <w:spacing w:after="0"/>
            </w:pPr>
            <w:r>
              <w:rPr>
                <w:sz w:val="18"/>
              </w:rPr>
              <w:t>Publica, monitorea y administra los CRMs</w:t>
            </w:r>
          </w:p>
        </w:tc>
      </w:tr>
      <w:tr>
        <w:trPr>
          <w:cantSplit/>
        </w:trPr>
        <w:tc>
          <w:tcPr>
            <w:tcW w:type="dxa" w:w="2835"/>
            <w:vAlign w:val="top"/>
            <w:shd w:val="clear" w:color="auto" w:fill="F8FAFC"/>
          </w:tcPr>
          <w:p>
            <w:pPr>
              <w:keepNext/>
              <w:spacing w:after="0"/>
            </w:pPr>
            <w:r>
              <w:rPr>
                <w:sz w:val="18"/>
              </w:rPr>
              <w:t>Patrocinio académico</w:t>
            </w:r>
          </w:p>
        </w:tc>
        <w:tc>
          <w:tcPr>
            <w:tcW w:type="dxa" w:w="2268"/>
            <w:vAlign w:val="top"/>
            <w:shd w:val="clear" w:color="auto" w:fill="F8FAFC"/>
          </w:tcPr>
          <w:p>
            <w:pPr>
              <w:keepNext/>
              <w:spacing w:after="0"/>
            </w:pPr>
            <w:r>
              <w:rPr>
                <w:sz w:val="18"/>
              </w:rPr>
              <w:t>Rocío Contreras</w:t>
            </w:r>
          </w:p>
        </w:tc>
        <w:tc>
          <w:tcPr>
            <w:tcW w:type="dxa" w:w="4870"/>
            <w:vAlign w:val="top"/>
            <w:shd w:val="clear" w:color="auto" w:fill="F8FAFC"/>
          </w:tcPr>
          <w:p>
            <w:pPr>
              <w:keepNext/>
              <w:spacing w:after="0"/>
            </w:pPr>
            <w:r>
              <w:rPr>
                <w:sz w:val="18"/>
              </w:rPr>
              <w:t>Orienta, revisa los entregables y evalúa</w:t>
            </w:r>
          </w:p>
        </w:tc>
      </w:tr>
      <w:tr>
        <w:trPr>
          <w:cantSplit/>
        </w:trPr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sz w:val="18"/>
              </w:rPr>
              <w:t>Cliente piloto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8"/>
              </w:rPr>
              <w:t>Empresa piloto</w:t>
            </w:r>
          </w:p>
        </w:tc>
        <w:tc>
          <w:tcPr>
            <w:tcW w:type="dxa" w:w="4870"/>
            <w:vAlign w:val="top"/>
          </w:tcPr>
          <w:p>
            <w:pPr>
              <w:spacing w:after="0"/>
            </w:pPr>
            <w:r>
              <w:rPr>
                <w:sz w:val="18"/>
              </w:rPr>
              <w:t>Prueba el producto y entrega retroalimentación</w:t>
            </w:r>
          </w:p>
        </w:tc>
      </w:tr>
    </w:tbl>
    <w:p>
      <w:pPr>
        <w:spacing w:after="0" w:before="0" w:line="120" w:lineRule="exact"/>
      </w:pPr>
      <w:r>
        <w:rPr>
          <w:sz w:val="12"/>
        </w:rPr>
      </w:r>
    </w:p>
    <w:p>
      <w:r>
        <w:rPr>
          <w:sz w:val="19"/>
        </w:rPr>
        <w:t>El integrante trabaja solo: los roles se declaran para no aparentar un equipo que no existe. Herramientas de apoyo: GitHub, Vercel, Supabase y un asistente de programación con IA (Claude Code), usado bajo la dirección y revisión del integrante.</w:t>
      </w:r>
    </w:p>
    <w:p>
      <w:pPr>
        <w:pStyle w:val="Heading1"/>
      </w:pPr>
      <w:r>
        <w:t>9. Supuestos y restricciones</w:t>
      </w:r>
    </w:p>
    <w:p>
      <w:pPr>
        <w:pStyle w:val="Heading2"/>
      </w:pPr>
      <w:r>
        <w:t>Supuestos</w:t>
      </w:r>
    </w:p>
    <w:p>
      <w:pPr>
        <w:pStyle w:val="ListBullet"/>
      </w:pPr>
      <w:r>
        <w:t>La empresa piloto seguirá probando el producto y entregando retroalimentación durante el semestre.</w:t>
      </w:r>
    </w:p>
    <w:p>
      <w:pPr>
        <w:pStyle w:val="ListBullet"/>
      </w:pPr>
      <w:r>
        <w:t>Supabase, Vercel y OpenAI mantienen disponibles los planes y precios actuales.</w:t>
      </w:r>
    </w:p>
    <w:p>
      <w:pPr>
        <w:pStyle w:val="ListBullet"/>
      </w:pPr>
      <w:r>
        <w:t>La Ley 21.719 entra en vigencia el 01-12-2026 sin cambios sustanciales a lo que el producto ya resuelve.</w:t>
      </w:r>
    </w:p>
    <w:p>
      <w:pPr>
        <w:pStyle w:val="Heading2"/>
      </w:pPr>
      <w:r>
        <w:t>Restricciones</w:t>
      </w:r>
    </w:p>
    <w:p>
      <w:pPr>
        <w:pStyle w:val="ListBullet"/>
      </w:pPr>
      <w:r>
        <w:rPr>
          <w:b/>
        </w:rPr>
        <w:t>Equipo:</w:t>
      </w:r>
      <w:r>
        <w:t xml:space="preserve"> una persona, con el tiempo de un semestre.</w:t>
      </w:r>
    </w:p>
    <w:p>
      <w:pPr>
        <w:pStyle w:val="ListBullet"/>
      </w:pPr>
      <w:r>
        <w:rPr>
          <w:b/>
        </w:rPr>
        <w:t>Legales:</w:t>
      </w:r>
      <w:r>
        <w:t xml:space="preserve"> Ley 19.628 modificada por la Ley 21.719; un lead se ubica por zona y nunca por coordenada.</w:t>
      </w:r>
    </w:p>
    <w:p>
      <w:pPr>
        <w:pStyle w:val="ListBullet"/>
      </w:pPr>
      <w:r>
        <w:rPr>
          <w:b/>
        </w:rPr>
        <w:t>Costos:</w:t>
      </w:r>
      <w:r>
        <w:t xml:space="preserve"> servicios en planes gratuitos o de bajo costo; el gasto de IA lo paga cada empresa con su propia clave.</w:t>
      </w:r>
    </w:p>
    <w:p>
      <w:pPr>
        <w:pStyle w:val="ListBullet"/>
      </w:pPr>
      <w:r>
        <w:rPr>
          <w:b/>
        </w:rPr>
        <w:t>Técnicas:</w:t>
      </w:r>
      <w:r>
        <w:t xml:space="preserve"> la base vive en Supabase (PostgreSQL con PostGIS); los cambios siguen un procedimiento estricto de migraciones nuevas, nunca se edita una aplicada.</w:t>
      </w:r>
    </w:p>
    <w:p>
      <w:pPr>
        <w:pStyle w:val="Heading1"/>
      </w:pPr>
      <w:r>
        <w:t>10. Riesgos de alto nivel</w:t>
      </w:r>
    </w:p>
    <w:p>
      <w:r>
        <w:rPr>
          <w:i/>
          <w:color w:val="475569"/>
          <w:sz w:val="18"/>
        </w:rPr>
        <w:t>Probabilidad (Prob.) e impacto (Imp.) son estimaciones del autor.</w:t>
      </w:r>
    </w:p>
    <w:tbl>
      <w:tblPr>
        <w:tblW w:type="dxa" w:w="9972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510"/>
        <w:gridCol w:w="2494"/>
        <w:gridCol w:w="850"/>
        <w:gridCol w:w="850"/>
        <w:gridCol w:w="3798"/>
        <w:gridCol w:w="1468"/>
      </w:tblGrid>
      <w:tr>
        <w:trPr>
          <w:cantSplit/>
          <w:tblHeader/>
        </w:trPr>
        <w:tc>
          <w:tcPr>
            <w:tcW w:type="dxa" w:w="510"/>
            <w:shd w:val="clear" w:color="auto" w:fill="3730A3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2494"/>
            <w:shd w:val="clear" w:color="auto" w:fill="3730A3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7"/>
              </w:rPr>
              <w:t>Riesgo</w:t>
            </w:r>
          </w:p>
        </w:tc>
        <w:tc>
          <w:tcPr>
            <w:tcW w:type="dxa" w:w="850"/>
            <w:shd w:val="clear" w:color="auto" w:fill="3730A3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Prob.</w:t>
            </w:r>
          </w:p>
        </w:tc>
        <w:tc>
          <w:tcPr>
            <w:tcW w:type="dxa" w:w="850"/>
            <w:shd w:val="clear" w:color="auto" w:fill="3730A3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Imp.</w:t>
            </w:r>
          </w:p>
        </w:tc>
        <w:tc>
          <w:tcPr>
            <w:tcW w:type="dxa" w:w="3798"/>
            <w:shd w:val="clear" w:color="auto" w:fill="3730A3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7"/>
              </w:rPr>
              <w:t>Respuesta (mitigación)</w:t>
            </w:r>
          </w:p>
        </w:tc>
        <w:tc>
          <w:tcPr>
            <w:tcW w:type="dxa" w:w="1468"/>
            <w:shd w:val="clear" w:color="auto" w:fill="3730A3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Estado</w:t>
            </w:r>
          </w:p>
        </w:tc>
      </w:tr>
      <w:tr>
        <w:trPr>
          <w:cantSplit/>
        </w:trPr>
        <w:tc>
          <w:tcPr>
            <w:tcW w:type="dxa" w:w="510"/>
            <w:vAlign w:val="top"/>
          </w:tcPr>
          <w:p>
            <w:pPr>
              <w:spacing w:after="0"/>
              <w:jc w:val="center"/>
            </w:pPr>
            <w:r>
              <w:rPr>
                <w:sz w:val="17"/>
              </w:rPr>
              <w:t>R1</w:t>
            </w:r>
          </w:p>
        </w:tc>
        <w:tc>
          <w:tcPr>
            <w:tcW w:type="dxa" w:w="2494"/>
            <w:vAlign w:val="top"/>
          </w:tcPr>
          <w:p>
            <w:pPr>
              <w:spacing w:after="0"/>
            </w:pPr>
            <w:r>
              <w:rPr>
                <w:sz w:val="17"/>
              </w:rPr>
              <w:t>Todo depende de una sola persona (carga académica, enfermedad)</w:t>
            </w:r>
          </w:p>
        </w:tc>
        <w:tc>
          <w:tcPr>
            <w:tcW w:type="dxa" w:w="850"/>
            <w:vAlign w:val="top"/>
          </w:tcPr>
          <w:p>
            <w:pPr>
              <w:spacing w:after="0"/>
              <w:jc w:val="center"/>
            </w:pPr>
            <w:r>
              <w:rPr>
                <w:sz w:val="17"/>
              </w:rPr>
              <w:t>Media</w:t>
            </w:r>
          </w:p>
        </w:tc>
        <w:tc>
          <w:tcPr>
            <w:tcW w:type="dxa" w:w="850"/>
            <w:vAlign w:val="top"/>
          </w:tcPr>
          <w:p>
            <w:pPr>
              <w:spacing w:after="0"/>
              <w:jc w:val="center"/>
            </w:pPr>
            <w:r>
              <w:rPr>
                <w:sz w:val="17"/>
              </w:rPr>
              <w:t>Alta</w:t>
            </w:r>
          </w:p>
        </w:tc>
        <w:tc>
          <w:tcPr>
            <w:tcW w:type="dxa" w:w="3798"/>
            <w:vAlign w:val="top"/>
          </w:tcPr>
          <w:p>
            <w:pPr>
              <w:spacing w:after="0"/>
            </w:pPr>
            <w:r>
              <w:rPr>
                <w:sz w:val="17"/>
              </w:rPr>
              <w:t>Avance incremental y publicado; documentación y pruebas automáticas que permiten retomar</w:t>
            </w:r>
          </w:p>
        </w:tc>
        <w:tc>
          <w:tcPr>
            <w:tcW w:type="dxa" w:w="1468"/>
            <w:vAlign w:val="top"/>
            <w:shd w:val="clear" w:color="auto" w:fill="DBEAFE"/>
          </w:tcPr>
          <w:p>
            <w:pPr>
              <w:spacing w:after="0"/>
              <w:jc w:val="center"/>
            </w:pPr>
            <w:r>
              <w:rPr>
                <w:b/>
                <w:color w:val="1E40AF"/>
                <w:sz w:val="17"/>
              </w:rPr>
              <w:t>En curso</w:t>
            </w:r>
          </w:p>
        </w:tc>
      </w:tr>
      <w:tr>
        <w:trPr>
          <w:cantSplit/>
        </w:trPr>
        <w:tc>
          <w:tcPr>
            <w:tcW w:type="dxa" w:w="510"/>
            <w:vAlign w:val="top"/>
            <w:shd w:val="clear" w:color="auto" w:fill="F8FAFC"/>
          </w:tcPr>
          <w:p>
            <w:pPr>
              <w:spacing w:after="0"/>
              <w:jc w:val="center"/>
            </w:pPr>
            <w:r>
              <w:rPr>
                <w:sz w:val="17"/>
              </w:rPr>
              <w:t>R2</w:t>
            </w:r>
          </w:p>
        </w:tc>
        <w:tc>
          <w:tcPr>
            <w:tcW w:type="dxa" w:w="2494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7"/>
              </w:rPr>
              <w:t>Mezcla de datos entre empresas</w:t>
            </w:r>
          </w:p>
        </w:tc>
        <w:tc>
          <w:tcPr>
            <w:tcW w:type="dxa" w:w="850"/>
            <w:vAlign w:val="top"/>
            <w:shd w:val="clear" w:color="auto" w:fill="F8FAFC"/>
          </w:tcPr>
          <w:p>
            <w:pPr>
              <w:spacing w:after="0"/>
              <w:jc w:val="center"/>
            </w:pPr>
            <w:r>
              <w:rPr>
                <w:sz w:val="17"/>
              </w:rPr>
              <w:t>Baja</w:t>
            </w:r>
          </w:p>
        </w:tc>
        <w:tc>
          <w:tcPr>
            <w:tcW w:type="dxa" w:w="850"/>
            <w:vAlign w:val="top"/>
            <w:shd w:val="clear" w:color="auto" w:fill="F8FAFC"/>
          </w:tcPr>
          <w:p>
            <w:pPr>
              <w:spacing w:after="0"/>
              <w:jc w:val="center"/>
            </w:pPr>
            <w:r>
              <w:rPr>
                <w:sz w:val="17"/>
              </w:rPr>
              <w:t>Muy alta</w:t>
            </w:r>
          </w:p>
        </w:tc>
        <w:tc>
          <w:tcPr>
            <w:tcW w:type="dxa" w:w="3798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7"/>
              </w:rPr>
              <w:t xml:space="preserve">RLS y triggers en la base; </w:t>
            </w:r>
            <w:r>
              <w:rPr>
                <w:rFonts w:ascii="Consolas" w:hAnsi="Consolas" w:eastAsia="Consolas"/>
                <w:color w:val="9D174D"/>
                <w:sz w:val="16"/>
              </w:rPr>
              <w:t>test:db</w:t>
            </w:r>
            <w:r>
              <w:rPr>
                <w:sz w:val="17"/>
              </w:rPr>
              <w:t xml:space="preserve"> con 257 pruebas, incluidos ataques desde dentro</w:t>
            </w:r>
          </w:p>
        </w:tc>
        <w:tc>
          <w:tcPr>
            <w:tcW w:type="dxa" w:w="1468"/>
            <w:vAlign w:val="top"/>
            <w:shd w:val="clear" w:color="auto" w:fill="DCFCE7"/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7"/>
              </w:rPr>
              <w:t>Mitigado</w:t>
            </w:r>
          </w:p>
        </w:tc>
      </w:tr>
      <w:tr>
        <w:trPr>
          <w:cantSplit/>
        </w:trPr>
        <w:tc>
          <w:tcPr>
            <w:tcW w:type="dxa" w:w="510"/>
            <w:vAlign w:val="top"/>
          </w:tcPr>
          <w:p>
            <w:pPr>
              <w:spacing w:after="0"/>
              <w:jc w:val="center"/>
            </w:pPr>
            <w:r>
              <w:rPr>
                <w:sz w:val="17"/>
              </w:rPr>
              <w:t>R3</w:t>
            </w:r>
          </w:p>
        </w:tc>
        <w:tc>
          <w:tcPr>
            <w:tcW w:type="dxa" w:w="2494"/>
            <w:vAlign w:val="top"/>
          </w:tcPr>
          <w:p>
            <w:pPr>
              <w:spacing w:after="0"/>
            </w:pPr>
            <w:r>
              <w:rPr>
                <w:sz w:val="17"/>
              </w:rPr>
              <w:t>Filtración de claves o de datos reales en el repositorio público o en la demo</w:t>
            </w:r>
          </w:p>
        </w:tc>
        <w:tc>
          <w:tcPr>
            <w:tcW w:type="dxa" w:w="850"/>
            <w:vAlign w:val="top"/>
          </w:tcPr>
          <w:p>
            <w:pPr>
              <w:spacing w:after="0"/>
              <w:jc w:val="center"/>
            </w:pPr>
            <w:r>
              <w:rPr>
                <w:sz w:val="17"/>
              </w:rPr>
              <w:t>Media</w:t>
            </w:r>
          </w:p>
        </w:tc>
        <w:tc>
          <w:tcPr>
            <w:tcW w:type="dxa" w:w="850"/>
            <w:vAlign w:val="top"/>
          </w:tcPr>
          <w:p>
            <w:pPr>
              <w:spacing w:after="0"/>
              <w:jc w:val="center"/>
            </w:pPr>
            <w:r>
              <w:rPr>
                <w:sz w:val="17"/>
              </w:rPr>
              <w:t>Alta</w:t>
            </w:r>
          </w:p>
        </w:tc>
        <w:tc>
          <w:tcPr>
            <w:tcW w:type="dxa" w:w="3798"/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Escaneo previo a publicar (también del historial), demo con datos ficticios, </w:t>
            </w:r>
            <w:r>
              <w:rPr>
                <w:rFonts w:ascii="Consolas" w:hAnsi="Consolas" w:eastAsia="Consolas"/>
                <w:color w:val="9D174D"/>
                <w:sz w:val="16"/>
              </w:rPr>
              <w:t>test:bundle</w:t>
            </w:r>
            <w:r>
              <w:rPr>
                <w:sz w:val="17"/>
              </w:rPr>
              <w:t>. Se detectó y corrigió a tiempo en la iteración 5</w:t>
            </w:r>
          </w:p>
        </w:tc>
        <w:tc>
          <w:tcPr>
            <w:tcW w:type="dxa" w:w="1468"/>
            <w:vAlign w:val="top"/>
            <w:shd w:val="clear" w:color="auto" w:fill="DCFCE7"/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7"/>
              </w:rPr>
              <w:t>Mitigado</w:t>
            </w:r>
          </w:p>
        </w:tc>
      </w:tr>
      <w:tr>
        <w:trPr>
          <w:cantSplit/>
        </w:trPr>
        <w:tc>
          <w:tcPr>
            <w:tcW w:type="dxa" w:w="510"/>
            <w:vAlign w:val="top"/>
            <w:shd w:val="clear" w:color="auto" w:fill="F8FAFC"/>
          </w:tcPr>
          <w:p>
            <w:pPr>
              <w:spacing w:after="0"/>
              <w:jc w:val="center"/>
            </w:pPr>
            <w:r>
              <w:rPr>
                <w:sz w:val="17"/>
              </w:rPr>
              <w:t>R4</w:t>
            </w:r>
          </w:p>
        </w:tc>
        <w:tc>
          <w:tcPr>
            <w:tcW w:type="dxa" w:w="2494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7"/>
              </w:rPr>
              <w:t>Incumplimiento de la Ley 21.719</w:t>
            </w:r>
          </w:p>
        </w:tc>
        <w:tc>
          <w:tcPr>
            <w:tcW w:type="dxa" w:w="850"/>
            <w:vAlign w:val="top"/>
            <w:shd w:val="clear" w:color="auto" w:fill="F8FAFC"/>
          </w:tcPr>
          <w:p>
            <w:pPr>
              <w:spacing w:after="0"/>
              <w:jc w:val="center"/>
            </w:pPr>
            <w:r>
              <w:rPr>
                <w:sz w:val="17"/>
              </w:rPr>
              <w:t>Media</w:t>
            </w:r>
          </w:p>
        </w:tc>
        <w:tc>
          <w:tcPr>
            <w:tcW w:type="dxa" w:w="850"/>
            <w:vAlign w:val="top"/>
            <w:shd w:val="clear" w:color="auto" w:fill="F8FAFC"/>
          </w:tcPr>
          <w:p>
            <w:pPr>
              <w:spacing w:after="0"/>
              <w:jc w:val="center"/>
            </w:pPr>
            <w:r>
              <w:rPr>
                <w:sz w:val="17"/>
              </w:rPr>
              <w:t>Alta</w:t>
            </w:r>
          </w:p>
        </w:tc>
        <w:tc>
          <w:tcPr>
            <w:tcW w:type="dxa" w:w="3798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7"/>
              </w:rPr>
              <w:t>Privacidad desde el diseño y expediente de cumplimiento; falta la revisión de un abogado</w:t>
            </w:r>
          </w:p>
        </w:tc>
        <w:tc>
          <w:tcPr>
            <w:tcW w:type="dxa" w:w="1468"/>
            <w:vAlign w:val="top"/>
            <w:shd w:val="clear" w:color="auto" w:fill="FEF3C7"/>
          </w:tcPr>
          <w:p>
            <w:pPr>
              <w:spacing w:after="0"/>
              <w:jc w:val="center"/>
            </w:pPr>
            <w:r>
              <w:rPr>
                <w:b/>
                <w:color w:val="92400E"/>
                <w:sz w:val="17"/>
              </w:rPr>
              <w:t>Parcial</w:t>
            </w:r>
          </w:p>
        </w:tc>
      </w:tr>
      <w:tr>
        <w:trPr>
          <w:cantSplit/>
        </w:trPr>
        <w:tc>
          <w:tcPr>
            <w:tcW w:type="dxa" w:w="510"/>
            <w:vAlign w:val="top"/>
          </w:tcPr>
          <w:p>
            <w:pPr>
              <w:spacing w:after="0"/>
              <w:jc w:val="center"/>
            </w:pPr>
            <w:r>
              <w:rPr>
                <w:sz w:val="17"/>
              </w:rPr>
              <w:t>R5</w:t>
            </w:r>
          </w:p>
        </w:tc>
        <w:tc>
          <w:tcPr>
            <w:tcW w:type="dxa" w:w="2494"/>
            <w:vAlign w:val="top"/>
          </w:tcPr>
          <w:p>
            <w:pPr>
              <w:spacing w:after="0"/>
            </w:pPr>
            <w:r>
              <w:rPr>
                <w:sz w:val="17"/>
              </w:rPr>
              <w:t>Gasto de IA fuera de control</w:t>
            </w:r>
          </w:p>
        </w:tc>
        <w:tc>
          <w:tcPr>
            <w:tcW w:type="dxa" w:w="850"/>
            <w:vAlign w:val="top"/>
          </w:tcPr>
          <w:p>
            <w:pPr>
              <w:spacing w:after="0"/>
              <w:jc w:val="center"/>
            </w:pPr>
            <w:r>
              <w:rPr>
                <w:sz w:val="17"/>
              </w:rPr>
              <w:t>Media</w:t>
            </w:r>
          </w:p>
        </w:tc>
        <w:tc>
          <w:tcPr>
            <w:tcW w:type="dxa" w:w="850"/>
            <w:vAlign w:val="top"/>
          </w:tcPr>
          <w:p>
            <w:pPr>
              <w:spacing w:after="0"/>
              <w:jc w:val="center"/>
            </w:pPr>
            <w:r>
              <w:rPr>
                <w:sz w:val="17"/>
              </w:rPr>
              <w:t>Media</w:t>
            </w:r>
          </w:p>
        </w:tc>
        <w:tc>
          <w:tcPr>
            <w:tcW w:type="dxa" w:w="3798"/>
            <w:vAlign w:val="top"/>
          </w:tcPr>
          <w:p>
            <w:pPr>
              <w:spacing w:after="0"/>
            </w:pPr>
            <w:r>
              <w:rPr>
                <w:sz w:val="17"/>
              </w:rPr>
              <w:t>Presupuesto mensual por empresa, clave propia de cada una y el asistente falla cerrado</w:t>
            </w:r>
          </w:p>
        </w:tc>
        <w:tc>
          <w:tcPr>
            <w:tcW w:type="dxa" w:w="1468"/>
            <w:vAlign w:val="top"/>
            <w:shd w:val="clear" w:color="auto" w:fill="DCFCE7"/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7"/>
              </w:rPr>
              <w:t>Mitigado</w:t>
            </w:r>
          </w:p>
        </w:tc>
      </w:tr>
      <w:tr>
        <w:trPr>
          <w:cantSplit/>
        </w:trPr>
        <w:tc>
          <w:tcPr>
            <w:tcW w:type="dxa" w:w="510"/>
            <w:vAlign w:val="top"/>
            <w:shd w:val="clear" w:color="auto" w:fill="F8FAFC"/>
          </w:tcPr>
          <w:p>
            <w:pPr>
              <w:spacing w:after="0"/>
              <w:jc w:val="center"/>
            </w:pPr>
            <w:r>
              <w:rPr>
                <w:sz w:val="17"/>
              </w:rPr>
              <w:t>R6</w:t>
            </w:r>
          </w:p>
        </w:tc>
        <w:tc>
          <w:tcPr>
            <w:tcW w:type="dxa" w:w="2494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7"/>
              </w:rPr>
              <w:t>Dependencia de servicios de terceros (Supabase, Vercel, OpenAI)</w:t>
            </w:r>
          </w:p>
        </w:tc>
        <w:tc>
          <w:tcPr>
            <w:tcW w:type="dxa" w:w="850"/>
            <w:vAlign w:val="top"/>
            <w:shd w:val="clear" w:color="auto" w:fill="F8FAFC"/>
          </w:tcPr>
          <w:p>
            <w:pPr>
              <w:spacing w:after="0"/>
              <w:jc w:val="center"/>
            </w:pPr>
            <w:r>
              <w:rPr>
                <w:sz w:val="17"/>
              </w:rPr>
              <w:t>Media</w:t>
            </w:r>
          </w:p>
        </w:tc>
        <w:tc>
          <w:tcPr>
            <w:tcW w:type="dxa" w:w="850"/>
            <w:vAlign w:val="top"/>
            <w:shd w:val="clear" w:color="auto" w:fill="F8FAFC"/>
          </w:tcPr>
          <w:p>
            <w:pPr>
              <w:spacing w:after="0"/>
              <w:jc w:val="center"/>
            </w:pPr>
            <w:r>
              <w:rPr>
                <w:sz w:val="17"/>
              </w:rPr>
              <w:t>Media</w:t>
            </w:r>
          </w:p>
        </w:tc>
        <w:tc>
          <w:tcPr>
            <w:tcW w:type="dxa" w:w="3798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7"/>
              </w:rPr>
              <w:t>Configuración solo por variables de entorno, Docker, tipos de cambio con valores de respaldo</w:t>
            </w:r>
          </w:p>
        </w:tc>
        <w:tc>
          <w:tcPr>
            <w:tcW w:type="dxa" w:w="1468"/>
            <w:vAlign w:val="top"/>
            <w:shd w:val="clear" w:color="auto" w:fill="FEF3C7"/>
          </w:tcPr>
          <w:p>
            <w:pPr>
              <w:spacing w:after="0"/>
              <w:jc w:val="center"/>
            </w:pPr>
            <w:r>
              <w:rPr>
                <w:b/>
                <w:color w:val="92400E"/>
                <w:sz w:val="17"/>
              </w:rPr>
              <w:t>Parcial</w:t>
            </w:r>
          </w:p>
        </w:tc>
      </w:tr>
      <w:tr>
        <w:trPr>
          <w:cantSplit/>
        </w:trPr>
        <w:tc>
          <w:tcPr>
            <w:tcW w:type="dxa" w:w="510"/>
            <w:vAlign w:val="top"/>
          </w:tcPr>
          <w:p>
            <w:pPr>
              <w:spacing w:after="0"/>
              <w:jc w:val="center"/>
            </w:pPr>
            <w:r>
              <w:rPr>
                <w:sz w:val="17"/>
              </w:rPr>
              <w:t>R7</w:t>
            </w:r>
          </w:p>
        </w:tc>
        <w:tc>
          <w:tcPr>
            <w:tcW w:type="dxa" w:w="2494"/>
            <w:vAlign w:val="top"/>
          </w:tcPr>
          <w:p>
            <w:pPr>
              <w:spacing w:after="0"/>
            </w:pPr>
            <w:r>
              <w:rPr>
                <w:sz w:val="17"/>
              </w:rPr>
              <w:t>El alcance crece sin control</w:t>
            </w:r>
          </w:p>
        </w:tc>
        <w:tc>
          <w:tcPr>
            <w:tcW w:type="dxa" w:w="850"/>
            <w:vAlign w:val="top"/>
          </w:tcPr>
          <w:p>
            <w:pPr>
              <w:spacing w:after="0"/>
              <w:jc w:val="center"/>
            </w:pPr>
            <w:r>
              <w:rPr>
                <w:sz w:val="17"/>
              </w:rPr>
              <w:t>Alta</w:t>
            </w:r>
          </w:p>
        </w:tc>
        <w:tc>
          <w:tcPr>
            <w:tcW w:type="dxa" w:w="850"/>
            <w:vAlign w:val="top"/>
          </w:tcPr>
          <w:p>
            <w:pPr>
              <w:spacing w:after="0"/>
              <w:jc w:val="center"/>
            </w:pPr>
            <w:r>
              <w:rPr>
                <w:sz w:val="17"/>
              </w:rPr>
              <w:t>Media</w:t>
            </w:r>
          </w:p>
        </w:tc>
        <w:tc>
          <w:tcPr>
            <w:tcW w:type="dxa" w:w="3798"/>
            <w:vAlign w:val="top"/>
          </w:tcPr>
          <w:p>
            <w:pPr>
              <w:spacing w:after="0"/>
            </w:pPr>
            <w:r>
              <w:rPr>
                <w:sz w:val="17"/>
              </w:rPr>
              <w:t>Backlog priorizado con lo que queda fuera del MVP explícito</w:t>
            </w:r>
          </w:p>
        </w:tc>
        <w:tc>
          <w:tcPr>
            <w:tcW w:type="dxa" w:w="1468"/>
            <w:vAlign w:val="top"/>
            <w:shd w:val="clear" w:color="auto" w:fill="DCFCE7"/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7"/>
              </w:rPr>
              <w:t>Mitigado</w:t>
            </w:r>
          </w:p>
        </w:tc>
      </w:tr>
      <w:tr>
        <w:trPr>
          <w:cantSplit/>
        </w:trPr>
        <w:tc>
          <w:tcPr>
            <w:tcW w:type="dxa" w:w="510"/>
            <w:vAlign w:val="top"/>
            <w:shd w:val="clear" w:color="auto" w:fill="F8FAFC"/>
          </w:tcPr>
          <w:p>
            <w:pPr>
              <w:spacing w:after="0"/>
              <w:jc w:val="center"/>
            </w:pPr>
            <w:r>
              <w:rPr>
                <w:sz w:val="17"/>
              </w:rPr>
              <w:t>R8</w:t>
            </w:r>
          </w:p>
        </w:tc>
        <w:tc>
          <w:tcPr>
            <w:tcW w:type="dxa" w:w="2494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7"/>
              </w:rPr>
              <w:t>Atraso en las entregas de la asignatura por la incorporación tardía a la sección</w:t>
            </w:r>
          </w:p>
        </w:tc>
        <w:tc>
          <w:tcPr>
            <w:tcW w:type="dxa" w:w="850"/>
            <w:vAlign w:val="top"/>
            <w:shd w:val="clear" w:color="auto" w:fill="F8FAFC"/>
          </w:tcPr>
          <w:p>
            <w:pPr>
              <w:spacing w:after="0"/>
              <w:jc w:val="center"/>
            </w:pPr>
            <w:r>
              <w:rPr>
                <w:sz w:val="17"/>
              </w:rPr>
              <w:t>Alta</w:t>
            </w:r>
          </w:p>
        </w:tc>
        <w:tc>
          <w:tcPr>
            <w:tcW w:type="dxa" w:w="850"/>
            <w:vAlign w:val="top"/>
            <w:shd w:val="clear" w:color="auto" w:fill="F8FAFC"/>
          </w:tcPr>
          <w:p>
            <w:pPr>
              <w:spacing w:after="0"/>
              <w:jc w:val="center"/>
            </w:pPr>
            <w:r>
              <w:rPr>
                <w:sz w:val="17"/>
              </w:rPr>
              <w:t>Media</w:t>
            </w:r>
          </w:p>
        </w:tc>
        <w:tc>
          <w:tcPr>
            <w:tcW w:type="dxa" w:w="3798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7"/>
              </w:rPr>
              <w:t>Plan por entrega con fechas (05-10 y 06-10) y entregables mínimos suficientes</w:t>
            </w:r>
          </w:p>
        </w:tc>
        <w:tc>
          <w:tcPr>
            <w:tcW w:type="dxa" w:w="1468"/>
            <w:vAlign w:val="top"/>
            <w:shd w:val="clear" w:color="auto" w:fill="DBEAFE"/>
          </w:tcPr>
          <w:p>
            <w:pPr>
              <w:spacing w:after="0"/>
              <w:jc w:val="center"/>
            </w:pPr>
            <w:r>
              <w:rPr>
                <w:b/>
                <w:color w:val="1E40AF"/>
                <w:sz w:val="17"/>
              </w:rPr>
              <w:t>En curso</w:t>
            </w:r>
          </w:p>
        </w:tc>
      </w:tr>
    </w:tbl>
    <w:p>
      <w:pPr>
        <w:spacing w:after="0" w:before="0" w:line="120" w:lineRule="exact"/>
      </w:pPr>
      <w:r>
        <w:rPr>
          <w:sz w:val="12"/>
        </w:rPr>
      </w:r>
    </w:p>
    <w:p>
      <w:pPr>
        <w:pStyle w:val="Heading1"/>
      </w:pPr>
      <w:r>
        <w:t>11. Presupuesto resumido</w:t>
      </w:r>
    </w:p>
    <w:tbl>
      <w:tblPr>
        <w:tblW w:type="dxa" w:w="9972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3061"/>
        <w:gridCol w:w="3174"/>
        <w:gridCol w:w="3736"/>
      </w:tblGrid>
      <w:tr>
        <w:trPr>
          <w:cantSplit/>
          <w:tblHeader/>
        </w:trPr>
        <w:tc>
          <w:tcPr>
            <w:tcW w:type="dxa" w:w="3061"/>
            <w:shd w:val="clear" w:color="auto" w:fill="3730A3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Concepto</w:t>
            </w:r>
          </w:p>
        </w:tc>
        <w:tc>
          <w:tcPr>
            <w:tcW w:type="dxa" w:w="3175"/>
            <w:shd w:val="clear" w:color="auto" w:fill="3730A3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Durante la tesis</w:t>
            </w:r>
          </w:p>
        </w:tc>
        <w:tc>
          <w:tcPr>
            <w:tcW w:type="dxa" w:w="3736"/>
            <w:shd w:val="clear" w:color="auto" w:fill="3730A3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Al operar comercialmente (estimado)</w:t>
            </w:r>
          </w:p>
        </w:tc>
      </w:tr>
      <w:tr>
        <w:trPr>
          <w:cantSplit/>
        </w:trPr>
        <w:tc>
          <w:tcPr>
            <w:tcW w:type="dxa" w:w="3061"/>
            <w:vAlign w:val="top"/>
          </w:tcPr>
          <w:p>
            <w:pPr>
              <w:keepNext/>
              <w:spacing w:after="0"/>
            </w:pPr>
            <w:r>
              <w:rPr>
                <w:sz w:val="18"/>
              </w:rPr>
              <w:t>Desarrollo</w:t>
            </w:r>
          </w:p>
        </w:tc>
        <w:tc>
          <w:tcPr>
            <w:tcW w:type="dxa" w:w="3175"/>
            <w:vAlign w:val="top"/>
          </w:tcPr>
          <w:p>
            <w:pPr>
              <w:keepNext/>
              <w:spacing w:after="0"/>
            </w:pPr>
            <w:r>
              <w:rPr>
                <w:sz w:val="18"/>
              </w:rPr>
              <w:t>Horas del integrante; no se valoriza</w:t>
            </w:r>
          </w:p>
        </w:tc>
        <w:tc>
          <w:tcPr>
            <w:tcW w:type="dxa" w:w="3736"/>
            <w:vAlign w:val="top"/>
          </w:tcPr>
          <w:p>
            <w:pPr>
              <w:keepNext/>
              <w:spacing w:after="0"/>
            </w:pPr>
            <w:r>
              <w:rPr>
                <w:sz w:val="18"/>
              </w:rPr>
              <w:t>Igual</w:t>
            </w:r>
          </w:p>
        </w:tc>
      </w:tr>
      <w:tr>
        <w:trPr>
          <w:cantSplit/>
        </w:trPr>
        <w:tc>
          <w:tcPr>
            <w:tcW w:type="dxa" w:w="3061"/>
            <w:vAlign w:val="top"/>
            <w:shd w:val="clear" w:color="auto" w:fill="F8FAFC"/>
          </w:tcPr>
          <w:p>
            <w:pPr>
              <w:keepNext/>
              <w:spacing w:after="0"/>
            </w:pPr>
            <w:r>
              <w:rPr>
                <w:sz w:val="18"/>
              </w:rPr>
              <w:t>Hosting de la aplicación (Vercel)</w:t>
            </w:r>
          </w:p>
        </w:tc>
        <w:tc>
          <w:tcPr>
            <w:tcW w:type="dxa" w:w="3175"/>
            <w:vAlign w:val="top"/>
            <w:shd w:val="clear" w:color="auto" w:fill="F8FAFC"/>
          </w:tcPr>
          <w:p>
            <w:pPr>
              <w:keepNext/>
              <w:spacing w:after="0"/>
            </w:pPr>
            <w:r>
              <w:rPr>
                <w:sz w:val="18"/>
              </w:rPr>
              <w:t>Plan gratuito</w:t>
            </w:r>
          </w:p>
        </w:tc>
        <w:tc>
          <w:tcPr>
            <w:tcW w:type="dxa" w:w="3736"/>
            <w:vAlign w:val="top"/>
            <w:shd w:val="clear" w:color="auto" w:fill="F8FAFC"/>
          </w:tcPr>
          <w:p>
            <w:pPr>
              <w:keepNext/>
              <w:spacing w:after="0"/>
            </w:pPr>
            <w:r>
              <w:rPr>
                <w:sz w:val="18"/>
              </w:rPr>
              <w:t>Plan Pro</w:t>
            </w:r>
          </w:p>
        </w:tc>
      </w:tr>
      <w:tr>
        <w:trPr>
          <w:cantSplit/>
        </w:trPr>
        <w:tc>
          <w:tcPr>
            <w:tcW w:type="dxa" w:w="3061"/>
            <w:vAlign w:val="top"/>
          </w:tcPr>
          <w:p>
            <w:pPr>
              <w:keepNext/>
              <w:spacing w:after="0"/>
            </w:pPr>
            <w:r>
              <w:rPr>
                <w:sz w:val="18"/>
              </w:rPr>
              <w:t>Base de datos y autenticación (Supabase)</w:t>
            </w:r>
          </w:p>
        </w:tc>
        <w:tc>
          <w:tcPr>
            <w:tcW w:type="dxa" w:w="3175"/>
            <w:vAlign w:val="top"/>
          </w:tcPr>
          <w:p>
            <w:pPr>
              <w:keepNext/>
              <w:spacing w:after="0"/>
            </w:pPr>
            <w:r>
              <w:rPr>
                <w:sz w:val="18"/>
              </w:rPr>
              <w:t>Plan gratuito o de bajo costo</w:t>
            </w:r>
          </w:p>
        </w:tc>
        <w:tc>
          <w:tcPr>
            <w:tcW w:type="dxa" w:w="3736"/>
            <w:vAlign w:val="top"/>
          </w:tcPr>
          <w:p>
            <w:pPr>
              <w:keepNext/>
              <w:spacing w:after="0"/>
            </w:pPr>
            <w:r>
              <w:rPr>
                <w:sz w:val="18"/>
              </w:rPr>
              <w:t>Plan Pro</w:t>
            </w:r>
          </w:p>
        </w:tc>
      </w:tr>
      <w:tr>
        <w:trPr>
          <w:cantSplit/>
        </w:trPr>
        <w:tc>
          <w:tcPr>
            <w:tcW w:type="dxa" w:w="3061"/>
            <w:vAlign w:val="top"/>
            <w:shd w:val="clear" w:color="auto" w:fill="F8FAFC"/>
          </w:tcPr>
          <w:p>
            <w:pPr>
              <w:keepNext/>
              <w:spacing w:after="0"/>
            </w:pPr>
            <w:r>
              <w:rPr>
                <w:sz w:val="18"/>
              </w:rPr>
              <w:t>Asistente de IA (OpenAI)</w:t>
            </w:r>
          </w:p>
        </w:tc>
        <w:tc>
          <w:tcPr>
            <w:tcW w:type="dxa" w:w="3175"/>
            <w:vAlign w:val="top"/>
            <w:shd w:val="clear" w:color="auto" w:fill="F8FAFC"/>
          </w:tcPr>
          <w:p>
            <w:pPr>
              <w:keepNext/>
              <w:spacing w:after="0"/>
            </w:pPr>
            <w:r>
              <w:rPr>
                <w:sz w:val="18"/>
              </w:rPr>
              <w:t>Lo paga cada empresa con su clave</w:t>
            </w:r>
          </w:p>
        </w:tc>
        <w:tc>
          <w:tcPr>
            <w:tcW w:type="dxa" w:w="3736"/>
            <w:vAlign w:val="top"/>
            <w:shd w:val="clear" w:color="auto" w:fill="F8FAFC"/>
          </w:tcPr>
          <w:p>
            <w:pPr>
              <w:keepNext/>
              <w:spacing w:after="0"/>
            </w:pPr>
            <w:r>
              <w:rPr>
                <w:sz w:val="18"/>
              </w:rPr>
              <w:t>Lo paga cada empresa; tope mensual de US$ 30 por defecto</w:t>
            </w:r>
          </w:p>
        </w:tc>
      </w:tr>
      <w:tr>
        <w:trPr>
          <w:cantSplit/>
        </w:trPr>
        <w:tc>
          <w:tcPr>
            <w:tcW w:type="dxa" w:w="3061"/>
            <w:vAlign w:val="top"/>
          </w:tcPr>
          <w:p>
            <w:pPr>
              <w:spacing w:after="0"/>
            </w:pPr>
            <w:r>
              <w:rPr>
                <w:sz w:val="18"/>
              </w:rPr>
              <w:t>Costo fijo de la plataforma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8"/>
              </w:rPr>
              <w:t>Sin costo fijo relevante</w:t>
            </w:r>
          </w:p>
        </w:tc>
        <w:tc>
          <w:tcPr>
            <w:tcW w:type="dxa" w:w="3736"/>
            <w:vAlign w:val="top"/>
          </w:tcPr>
          <w:p>
            <w:pPr>
              <w:spacing w:after="0"/>
            </w:pPr>
            <w:r>
              <w:rPr>
                <w:sz w:val="18"/>
              </w:rPr>
              <w:t>Del orden de US$ 50 a 60 al mes (estimación del diseño comercial)</w:t>
            </w:r>
          </w:p>
        </w:tc>
      </w:tr>
    </w:tbl>
    <w:p>
      <w:pPr>
        <w:spacing w:after="0" w:before="0" w:line="120" w:lineRule="exact"/>
      </w:pPr>
      <w:r>
        <w:rPr>
          <w:sz w:val="12"/>
        </w:rPr>
      </w:r>
    </w:p>
    <w:p>
      <w:pPr>
        <w:pStyle w:val="Heading1"/>
      </w:pPr>
      <w:r>
        <w:t>12. Criterios de aceptación del proyecto</w:t>
      </w:r>
    </w:p>
    <w:p>
      <w:pPr>
        <w:pStyle w:val="ListBullet"/>
      </w:pPr>
      <w:r>
        <w:t>La empresa piloto captura y gestiona sus leads en Revela, en producción.</w:t>
      </w:r>
    </w:p>
    <w:p>
      <w:pPr>
        <w:pStyle w:val="ListBullet"/>
      </w:pPr>
      <w:r>
        <w:t>El gerente responde «¿dónde vendemos más?» en una sola pantalla (KPI y mapa).</w:t>
      </w:r>
    </w:p>
    <w:p>
      <w:pPr>
        <w:pStyle w:val="ListBullet"/>
      </w:pPr>
      <w:r>
        <w:t>Cero datos de una empresa visibles para otra: pruebas de aislamiento y de ataque en verde.</w:t>
      </w:r>
    </w:p>
    <w:p>
      <w:pPr>
        <w:pStyle w:val="ListBullet"/>
      </w:pPr>
      <w:r>
        <w:t>Las solicitudes de los titulares se registran y resuelven dentro de la herramienta, con el lead bloqueado mientras tanto.</w:t>
      </w:r>
    </w:p>
    <w:p>
      <w:pPr>
        <w:pStyle w:val="ListBullet"/>
      </w:pPr>
      <w:r>
        <w:t>El repositorio y la documentación cumplen el instructivo de la asignatura (README con los 7 elementos y los documentos obligatorios).</w:t>
      </w:r>
    </w:p>
    <w:p>
      <w:pPr>
        <w:pStyle w:val="Heading1"/>
      </w:pPr>
      <w:r>
        <w:t>13. Aprobaciones</w:t>
      </w:r>
    </w:p>
    <w:tbl>
      <w:tblPr>
        <w:tblW w:type="dxa" w:w="9972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top w:w="70" w:type="dxa"/>
          <w:left w:w="90" w:type="dxa"/>
          <w:bottom w:w="70" w:type="dxa"/>
          <w:right w:w="90" w:type="dxa"/>
        </w:tblCellMar>
        <w:tblLayout w:type="fixed"/>
      </w:tblPr>
      <w:tblGrid>
        <w:gridCol w:w="2607"/>
        <w:gridCol w:w="2834"/>
        <w:gridCol w:w="2834"/>
        <w:gridCol w:w="1695"/>
      </w:tblGrid>
      <w:tr>
        <w:trPr>
          <w:cantSplit/>
          <w:tblHeader/>
        </w:trPr>
        <w:tc>
          <w:tcPr>
            <w:tcW w:type="dxa" w:w="2608"/>
            <w:shd w:val="clear" w:color="auto" w:fill="3730A3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Nombre</w:t>
            </w:r>
          </w:p>
        </w:tc>
        <w:tc>
          <w:tcPr>
            <w:tcW w:type="dxa" w:w="2835"/>
            <w:shd w:val="clear" w:color="auto" w:fill="3730A3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Rol</w:t>
            </w:r>
          </w:p>
        </w:tc>
        <w:tc>
          <w:tcPr>
            <w:tcW w:type="dxa" w:w="2835"/>
            <w:shd w:val="clear" w:color="auto" w:fill="3730A3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Firma</w:t>
            </w:r>
          </w:p>
        </w:tc>
        <w:tc>
          <w:tcPr>
            <w:tcW w:type="dxa" w:w="1695"/>
            <w:shd w:val="clear" w:color="auto" w:fill="3730A3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Fecha</w:t>
            </w:r>
          </w:p>
        </w:tc>
      </w:tr>
      <w:tr>
        <w:trPr>
          <w:cantSplit/>
          <w:trHeight w:val="794"/>
        </w:trPr>
        <w:tc>
          <w:tcPr>
            <w:tcW w:type="dxa" w:w="2608"/>
          </w:tcPr>
          <w:p>
            <w:pPr>
              <w:keepNext/>
              <w:spacing w:after="0"/>
            </w:pPr>
            <w:r>
              <w:rPr>
                <w:sz w:val="19"/>
              </w:rPr>
              <w:t>Yair Hamir Costa Pérez</w:t>
            </w:r>
          </w:p>
        </w:tc>
        <w:tc>
          <w:tcPr>
            <w:tcW w:type="dxa" w:w="2835"/>
          </w:tcPr>
          <w:p>
            <w:pPr>
              <w:keepNext/>
              <w:spacing w:after="0"/>
            </w:pPr>
            <w:r>
              <w:rPr>
                <w:sz w:val="19"/>
              </w:rPr>
              <w:t>Gerente de proyecto / Product Owner</w:t>
            </w:r>
          </w:p>
        </w:tc>
        <w:tc>
          <w:tcPr>
            <w:tcW w:type="dxa" w:w="2835"/>
          </w:tcPr>
          <w:p>
            <w:pPr>
              <w:keepNext/>
              <w:spacing w:after="0"/>
            </w:pPr>
          </w:p>
        </w:tc>
        <w:tc>
          <w:tcPr>
            <w:tcW w:type="dxa" w:w="1695"/>
          </w:tcPr>
          <w:p>
            <w:pPr>
              <w:keepNext/>
              <w:spacing w:after="0"/>
            </w:pPr>
          </w:p>
        </w:tc>
      </w:tr>
      <w:tr>
        <w:trPr>
          <w:cantSplit/>
          <w:trHeight w:val="794"/>
        </w:trPr>
        <w:tc>
          <w:tcPr>
            <w:tcW w:type="dxa" w:w="2608"/>
          </w:tcPr>
          <w:p>
            <w:pPr>
              <w:spacing w:after="0"/>
            </w:pPr>
            <w:r>
              <w:rPr>
                <w:sz w:val="19"/>
              </w:rPr>
              <w:t>Rocío Contreras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9"/>
              </w:rPr>
              <w:t>Docente CAPSTONE, patrocinio académico</w:t>
            </w:r>
          </w:p>
        </w:tc>
        <w:tc>
          <w:tcPr>
            <w:tcW w:type="dxa" w:w="2835"/>
          </w:tcPr>
          <w:p>
            <w:pPr>
              <w:spacing w:after="0"/>
            </w:pPr>
          </w:p>
        </w:tc>
        <w:tc>
          <w:tcPr>
            <w:tcW w:type="dxa" w:w="1695"/>
          </w:tcPr>
          <w:p>
            <w:pPr>
              <w:spacing w:after="0"/>
            </w:pPr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020" w:left="1134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clear" w:pos="4680"/>
        <w:tab w:val="clear" w:pos="9360"/>
        <w:tab w:val="right" w:pos="9972"/>
      </w:tabs>
    </w:pPr>
    <w:r/>
    <w:r>
      <w:rPr>
        <w:color w:val="475569"/>
        <w:sz w:val="17"/>
      </w:rPr>
      <w:t>Revela · Duoc UC · CAPSTONE APT122 · REV-00</w:t>
    </w:r>
    <w:r>
      <w:rPr>
        <w:color w:val="475569"/>
        <w:sz w:val="17"/>
      </w:rPr>
      <w:tab/>
      <w:t xml:space="preserve">Página </w:t>
    </w:r>
    <w:r>
      <w:rPr>
        <w:color w:val="475569"/>
        <w:sz w:val="17"/>
      </w:rPr>
      <w:fldChar w:fldCharType="begin"/>
      <w:instrText xml:space="preserve"> PAGE </w:instrText>
      <w:fldChar w:fldCharType="separate"/>
      <w:t>1</w:t>
      <w:fldChar w:fldCharType="end"/>
    </w:r>
    <w:r>
      <w:rPr>
        <w:color w:val="475569"/>
        <w:sz w:val="17"/>
      </w:rPr>
      <w:t xml:space="preserve"> de </w:t>
    </w:r>
    <w:r>
      <w:rPr>
        <w:color w:val="475569"/>
        <w:sz w:val="17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4" w:color="CBD5E1"/>
      </w:pBdr>
    </w:pPr>
    <w:r/>
    <w:r>
      <w:rPr>
        <w:color w:val="475569"/>
        <w:sz w:val="17"/>
      </w:rPr>
      <w:t>Revela · Acta de Inicio del Proyecto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i w:val="0"/>
      <w:color w:val="3730A3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6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i w:val="0"/>
      <w:color w:val="3730A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i w:val="0"/>
      <w:color w:val="47556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Calibri" w:hAnsi="Calibr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REV-00</dc:title>
  <dc:subject/>
  <dc:creator>Yair Hamir Costa Pérez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es-CL</dc:language>
</cp:coreProperties>
</file>