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Sprint Backlog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Iteraciones del proyecto y tablero de la iteración actual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REV-04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1.0 · 01-10-2026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rPr>
          <w:i/>
          <w:color w:val="475569"/>
          <w:sz w:val="18"/>
        </w:rPr>
        <w:t>Reconstruido desde el historial real de Git: cada fila de las iteraciones 1 a 4 corresponde a un commit. El repositorio se inició el 23-09-2026 con un primer commit que trae el producto ya desarrollado en local (entonces llamado GeoCRM); por eso la iteración 1 concentra ese trabajo previo.</w:t>
      </w:r>
    </w:p>
    <w:p>
      <w:pPr>
        <w:pStyle w:val="Heading1"/>
      </w:pPr>
      <w:r>
        <w:t>1. Resumen de iteraciones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93"/>
        <w:gridCol w:w="2040"/>
        <w:gridCol w:w="5777"/>
        <w:gridCol w:w="1360"/>
      </w:tblGrid>
      <w:tr>
        <w:trPr>
          <w:cantSplit/>
          <w:tblHeader/>
        </w:trPr>
        <w:tc>
          <w:tcPr>
            <w:tcW w:type="dxa" w:w="794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Iter.</w:t>
            </w:r>
          </w:p>
        </w:tc>
        <w:tc>
          <w:tcPr>
            <w:tcW w:type="dxa" w:w="204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Fechas</w:t>
            </w:r>
          </w:p>
        </w:tc>
        <w:tc>
          <w:tcPr>
            <w:tcW w:type="dxa" w:w="5777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type="dxa" w:w="1361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Commits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23-09-2026</w:t>
            </w:r>
          </w:p>
        </w:tc>
        <w:tc>
          <w:tcPr>
            <w:tcW w:type="dxa" w:w="5777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Producto base, marca y cumplimiento: CRM multiempresa con demo y la base legal resuelta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25 y 26-09-2026</w:t>
            </w:r>
          </w:p>
        </w:tc>
        <w:tc>
          <w:tcPr>
            <w:tcW w:type="dxa" w:w="5777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Base de datos real y conexión por etapas: pasar de datos en memoria a PostgreSQL con seguridad por empresa</w:t>
            </w:r>
          </w:p>
        </w:tc>
        <w:tc>
          <w:tcPr>
            <w:tcW w:type="dxa" w:w="1361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041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27-09-2026</w:t>
            </w:r>
          </w:p>
        </w:tc>
        <w:tc>
          <w:tcPr>
            <w:tcW w:type="dxa" w:w="5777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Zonas oficiales, publicación, seguridad y región: publicar la app y abrirla a 19 países</w:t>
            </w:r>
          </w:p>
        </w:tc>
        <w:tc>
          <w:tcPr>
            <w:tcW w:type="dxa" w:w="1361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04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28 al 30-09-2026</w:t>
            </w:r>
          </w:p>
        </w:tc>
        <w:tc>
          <w:tcPr>
            <w:tcW w:type="dxa" w:w="5777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Rendimiento, soporte y asistente de IA con control de costo</w:t>
            </w:r>
          </w:p>
        </w:tc>
        <w:tc>
          <w:tcPr>
            <w:tcW w:type="dxa" w:w="1361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794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>
              <w:rPr>
                <w:sz w:val="18"/>
              </w:rPr>
              <w:t>30-09 al 06-10-2026</w:t>
            </w:r>
          </w:p>
        </w:tc>
        <w:tc>
          <w:tcPr>
            <w:tcW w:type="dxa" w:w="5777"/>
            <w:vAlign w:val="top"/>
          </w:tcPr>
          <w:p>
            <w:pPr>
              <w:spacing w:after="0"/>
            </w:pPr>
            <w:r>
              <w:rPr>
                <w:sz w:val="18"/>
              </w:rPr>
              <w:t>Evidencias para la evaluación: repositorio, documentación del instructivo, Docker y pruebas de rendimiento</w:t>
            </w:r>
          </w:p>
        </w:tc>
        <w:tc>
          <w:tcPr>
            <w:tcW w:type="dxa" w:w="1361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En curso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2. Detalle por iteración</w:t>
      </w:r>
    </w:p>
    <w:p>
      <w:pPr>
        <w:pStyle w:val="Heading2"/>
      </w:pPr>
      <w:r>
        <w:t>Iteración 1 · 23-09-2026 · Producto base, marca y cumplimiento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GeoCRM: CRM multiempresa con inteligencia geográfica</w:t>
            </w:r>
          </w:p>
        </w:tc>
        <w:tc>
          <w:tcPr>
            <w:tcW w:type="dxa" w:w="21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HU-01 a HU-08, HU-10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Renombra el producto de GeoCRM a Revela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Cuenta demo pública, logo propio y cambio de contraseña</w:t>
            </w:r>
          </w:p>
        </w:tc>
        <w:tc>
          <w:tcPr>
            <w:tcW w:type="dxa" w:w="2149"/>
            <w:vAlign w:val="top"/>
          </w:tcPr>
          <w:p>
            <w:pPr>
              <w:keepNext/>
              <w:spacing w:after="0"/>
            </w:pPr>
            <w:r>
              <w:rPr>
                <w:sz w:val="18"/>
              </w:rPr>
              <w:t>HU-15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keepNext/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Derechos del titular en el producto y expediente de cumplimiento (Ley 21.719)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8"/>
              </w:rPr>
              <w:t>HU-09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23-09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Separación de funciones en derechos y portal fiscalizador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HU-09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Iteración 2 · 25 y 26-09-2026 · Base de datos real y conexión por etapas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Base del dato obligatoria, plazo de prospectos y asistente limitado a empresas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HU-01, HU-12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Bloqueo en los guards y auditoría sin datos personales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HU-08, HU-09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Asistente de IA con GPT (OpenAI) como proveedor alternativo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HU-12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Base de datos en Supabase: migraciones aplicadas y reglas de privacidad en la base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HU-05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25-09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Conexión con Supabase, etapa 1: login real, CRMs e invitaciones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HU-07, HU-10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Conexión con Supabase, etapa 2: equipo del gerente y auditoría en la base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HU-07, HU-08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Permisos de tablas para service_role: las invitaciones fallaban (migración 0016)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HU-07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Conexión con Supabase, etapa 3: el trabajo diario del CRM en la base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HU-01 a HU-06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Conexión con Supabase, etapas 4 y 5: etapas del pipeline y exportación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HU-02, HU-10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26-09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Mapa por zonas y sin coordenadas de los leads (minimización de datos)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HU-04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Iteración 3 · 27-09-2026 · Zonas oficiales, publicación, seguridad y región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Zonas oficiales de Chile y Perú, agrupadas por región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HU-04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Limpieza antes de publicar: sin coordenadas en la base, mapa liviano y sin CRMs de prueba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HU-04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Publicación en Vercel: la API como función empaquetada y pruebas del despliegue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HU-16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Revisión de seguridad de la app publicada: reglas por perfil en la base, asistente con sesión y CSP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HU-05, HU-12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Procesos de Revela en BPMN 2.0: cinco diagramas editables y su explicación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América Latina: la gerencia elige sus países y cada uno trae sus zonas oficiales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HU-11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Divisas para ver el CRM: la gerencia suma las monedas de sus países activos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HU-11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27-09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Demo pública sin contraseñas (</w:t>
            </w:r>
            <w:r>
              <w:rPr>
                <w:rFonts w:ascii="Consolas" w:hAnsi="Consolas" w:eastAsia="Consolas"/>
                <w:color w:val="9D174D"/>
                <w:sz w:val="17"/>
              </w:rPr>
              <w:t>?demo</w:t>
            </w:r>
            <w:r>
              <w:rPr>
                <w:sz w:val="18"/>
              </w:rPr>
              <w:t>) y diagramas BPMN sin textos tapados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HU-15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2"/>
      </w:pPr>
      <w:r>
        <w:t>Iteración 4 · 28 al 30-09-2026 · Rendimiento, soporte y asistente de IA con control de costo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020"/>
        <w:gridCol w:w="6803"/>
        <w:gridCol w:w="2148"/>
      </w:tblGrid>
      <w:tr>
        <w:trPr>
          <w:cantSplit/>
          <w:tblHeader/>
        </w:trPr>
        <w:tc>
          <w:tcPr>
            <w:tcW w:type="dxa" w:w="1020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</w:t>
            </w:r>
          </w:p>
        </w:tc>
        <w:tc>
          <w:tcPr>
            <w:tcW w:type="dxa" w:w="2149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Historias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28-09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BPMN en PNG a 4x, con títulos claros y versión para diapositivas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28-09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Carga por partes: la app baja al entrar 190 KB de código propio en vez de 1 MB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Rendimiento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28-09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Catálogo: precio sugerido en gris, convertido desde el primer país con precio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HU-06, HU-11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29-09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Uso y soporte: panel del administrador, encuesta de satisfacción y reporte de errores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HU-14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Asistente con GPT: modelo más barato y presupuesto mensual por CRM (US$ 30) que ajusta la gerencia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HU-13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Gemini apagado: el asistente usa solo GPT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HU-12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La clave de OpenAI es de cada CRM: la gerencia la pega en el chat y se guarda cifrada en Vault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HU-13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Demo pública genérica: sin nombres, productos ni servicios de la empresa piloto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HU-15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sz w:val="18"/>
              </w:rPr>
              <w:t>Pruebas de fuga de contraseñas: incluyen las contraseñas de desarrollo vigentes</w:t>
            </w:r>
          </w:p>
        </w:tc>
        <w:tc>
          <w:tcPr>
            <w:tcW w:type="dxa" w:w="2149"/>
            <w:vAlign w:val="top"/>
          </w:tcPr>
          <w:p>
            <w:pPr>
              <w:spacing w:after="0"/>
            </w:pPr>
            <w:r>
              <w:rPr>
                <w:sz w:val="18"/>
              </w:rPr>
              <w:t>Calidad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val="clear" w:color="auto" w:fill="F8FAFC"/>
          </w:tcPr>
          <w:p>
            <w:pPr>
              <w:spacing w:after="0"/>
              <w:jc w:val="center"/>
            </w:pPr>
            <w:r>
              <w:rPr>
                <w:sz w:val="18"/>
              </w:rPr>
              <w:t>30-09</w:t>
            </w:r>
          </w:p>
        </w:tc>
        <w:tc>
          <w:tcPr>
            <w:tcW w:type="dxa" w:w="6803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Evidencias regeneradas con la demo pública de Revela</w:t>
            </w:r>
          </w:p>
        </w:tc>
        <w:tc>
          <w:tcPr>
            <w:tcW w:type="dxa" w:w="2149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pPr>
        <w:pStyle w:val="Heading1"/>
      </w:pPr>
      <w:r>
        <w:t>3. Iteración actual (5): tablero</w:t>
      </w:r>
    </w:p>
    <w:p>
      <w:r>
        <w:rPr>
          <w:b/>
        </w:rPr>
        <w:t>Meta:</w:t>
      </w:r>
      <w:r>
        <w:t xml:space="preserve"> dejar el repositorio y la documentación listos para evaluar. </w:t>
      </w:r>
      <w:r>
        <w:rPr>
          <w:b/>
        </w:rPr>
        <w:t>Período:</w:t>
      </w:r>
      <w:r>
        <w:t xml:space="preserve"> 30-09 al 06-10-2026.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7937"/>
        <w:gridCol w:w="2035"/>
      </w:tblGrid>
      <w:tr>
        <w:trPr>
          <w:cantSplit/>
          <w:tblHeader/>
        </w:trPr>
        <w:tc>
          <w:tcPr>
            <w:tcW w:type="dxa" w:w="7937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2035"/>
            <w:shd w:val="clear" w:color="auto" w:fill="3730A3"/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8"/>
              </w:rPr>
              <w:t>README con los 7 elementos y estructura de carpetas de la asignatura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Documentación obligatoria: arquitectura, modelo de datos, UML, requisitos no funcionales, pruebas e innovación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Dockerfile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7"/>
              </w:rPr>
              <w:t>docker-compose.yml</w:t>
            </w:r>
            <w:r>
              <w:rPr>
                <w:sz w:val="18"/>
              </w:rPr>
              <w:t xml:space="preserve"> (la imagen aún no se construyó en el equipo de desarrollo)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Prueba de rendimiento (</w:t>
            </w:r>
            <w:r>
              <w:rPr>
                <w:rFonts w:ascii="Consolas" w:hAnsi="Consolas" w:eastAsia="Consolas"/>
                <w:color w:val="9D174D"/>
                <w:sz w:val="17"/>
              </w:rPr>
              <w:t>npm run test:rendimiento</w:t>
            </w:r>
            <w:r>
              <w:rPr>
                <w:sz w:val="18"/>
              </w:rPr>
              <w:t>)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8"/>
              </w:rPr>
              <w:t>Documentos de metodología en Word y presentación de estado (clase del 05-10)</w:t>
            </w:r>
          </w:p>
        </w:tc>
        <w:tc>
          <w:tcPr>
            <w:tcW w:type="dxa" w:w="2035"/>
            <w:vAlign w:val="top"/>
            <w:shd w:val="clear" w:color="auto" w:fill="DCFCE7"/>
          </w:tcPr>
          <w:p>
            <w:pPr>
              <w:spacing w:after="0"/>
              <w:jc w:val="center"/>
            </w:pPr>
            <w:r>
              <w:rPr>
                <w:b/>
                <w:color w:val="166534"/>
                <w:sz w:val="18"/>
              </w:rPr>
              <w:t>Hecho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Evidencias de la Fase 1: 1.3 Autoevaluación, 1.4 Formativa, 1.5 Guía de definición y presentación del proyecto</w:t>
            </w:r>
          </w:p>
        </w:tc>
        <w:tc>
          <w:tcPr>
            <w:tcW w:type="dxa" w:w="2035"/>
            <w:vAlign w:val="top"/>
            <w:shd w:val="clear" w:color="auto" w:fill="DBEAFE"/>
          </w:tcPr>
          <w:p>
            <w:pPr>
              <w:spacing w:after="0"/>
              <w:jc w:val="center"/>
            </w:pPr>
            <w:r>
              <w:rPr>
                <w:b/>
                <w:color w:val="1E40AF"/>
                <w:sz w:val="18"/>
              </w:rPr>
              <w:t>En curso</w:t>
            </w:r>
          </w:p>
        </w:tc>
      </w:tr>
      <w:tr>
        <w:trPr>
          <w:cantSplit/>
        </w:trPr>
        <w:tc>
          <w:tcPr>
            <w:tcW w:type="dxa" w:w="7937"/>
            <w:vAlign w:val="top"/>
          </w:tcPr>
          <w:p>
            <w:pPr>
              <w:spacing w:after="0"/>
            </w:pPr>
            <w:r>
              <w:rPr>
                <w:sz w:val="18"/>
              </w:rPr>
              <w:t>Construir la imagen Docker en un equipo con Docker</w:t>
            </w:r>
          </w:p>
        </w:tc>
        <w:tc>
          <w:tcPr>
            <w:tcW w:type="dxa" w:w="2035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Pendiente</w:t>
            </w:r>
          </w:p>
        </w:tc>
      </w:tr>
      <w:tr>
        <w:trPr>
          <w:cantSplit/>
        </w:trPr>
        <w:tc>
          <w:tcPr>
            <w:tcW w:type="dxa" w:w="793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Retrospectiva de la iteración 5 (al cierre, 06-10-2026)</w:t>
            </w:r>
          </w:p>
        </w:tc>
        <w:tc>
          <w:tcPr>
            <w:tcW w:type="dxa" w:w="2035"/>
            <w:vAlign w:val="top"/>
            <w:shd w:val="clear" w:color="auto" w:fill="FEF3C7"/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18"/>
              </w:rPr>
              <w:t>Pendiente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REV-04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Sprint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REV-04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