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972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1133"/>
        <w:gridCol w:w="8838"/>
      </w:tblGrid>
      <w:tr>
        <w:tc>
          <w:tcPr>
            <w:tcW w:type="dxa" w:w="1134"/>
            <w:vAlign w:val="center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838"/>
            <w:vAlign w:val="center"/>
          </w:tcPr>
          <w:p>
            <w:pPr>
              <w:spacing w:after="0"/>
            </w:pPr>
            <w:r>
              <w:rPr>
                <w:b/>
                <w:color w:val="3730A3"/>
                <w:sz w:val="44"/>
              </w:rPr>
              <w:t>Retrospectivas</w:t>
            </w:r>
          </w:p>
          <w:p>
            <w:pPr>
              <w:spacing w:after="0"/>
            </w:pPr>
            <w:r>
              <w:rPr>
                <w:color w:val="475569"/>
                <w:sz w:val="22"/>
              </w:rPr>
              <w:t>Qué mejoró el proceso en cada iteración</w:t>
            </w:r>
          </w:p>
        </w:tc>
      </w:tr>
    </w:tbl>
    <w:p>
      <w:pPr>
        <w:spacing w:after="120" w:before="40"/>
        <w:pBdr>
          <w:bottom w:val="single" w:sz="12" w:space="1" w:color="E11D48"/>
        </w:pBdr>
      </w:pP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1757"/>
        <w:gridCol w:w="3231"/>
        <w:gridCol w:w="1700"/>
        <w:gridCol w:w="3282"/>
      </w:tblGrid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Proyecto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Revela (ex GeoCRM)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Autor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Yair Hamir Costa Pérez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Código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REV-06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Asignatura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CAPSTONE (APT122) · sección 003D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Versión / fecha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1.1 · 10-10-2026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Institución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Duoc UC · Sede Antonio Varas</w:t>
            </w:r>
          </w:p>
        </w:tc>
      </w:tr>
      <w:tr>
        <w:trPr>
          <w:cantSplit/>
        </w:trPr>
        <w:tc>
          <w:tcPr>
            <w:tcW w:type="dxa" w:w="1757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Estado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sz w:val="19"/>
              </w:rPr>
              <w:t>Versión para revisión</w:t>
            </w:r>
          </w:p>
        </w:tc>
        <w:tc>
          <w:tcPr>
            <w:tcW w:type="dxa" w:w="1701"/>
            <w:shd w:val="clear" w:color="auto" w:fill="EEF2FF"/>
          </w:tcPr>
          <w:p>
            <w:pPr>
              <w:spacing w:after="0"/>
            </w:pPr>
            <w:r>
              <w:rPr>
                <w:b/>
                <w:color w:val="3730A3"/>
                <w:sz w:val="18"/>
              </w:rPr>
              <w:t>Docente</w:t>
            </w:r>
          </w:p>
        </w:tc>
        <w:tc>
          <w:tcPr>
            <w:tcW w:type="dxa" w:w="3283"/>
          </w:tcPr>
          <w:p>
            <w:pPr>
              <w:spacing w:after="0"/>
            </w:pPr>
            <w:r>
              <w:rPr>
                <w:sz w:val="19"/>
              </w:rPr>
              <w:t>Rocío Contreras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6" w:space="0" w:color="C2410C"/>
          <w:left w:val="single" w:sz="6" w:space="0" w:color="C2410C"/>
          <w:bottom w:val="single" w:sz="6" w:space="0" w:color="C2410C"/>
          <w:right w:val="single" w:sz="6" w:space="0" w:color="C2410C"/>
          <w:insideH w:val="single" w:sz="6" w:space="0" w:color="C2410C"/>
          <w:insideV w:val="single" w:sz="6" w:space="0" w:color="C2410C"/>
        </w:tblBorders>
        <w:tblCellMar>
          <w:top w:w="100" w:type="dxa"/>
          <w:left w:w="160" w:type="dxa"/>
          <w:bottom w:w="100" w:type="dxa"/>
          <w:right w:w="160" w:type="dxa"/>
        </w:tblCellMar>
        <w:tblLayout w:type="fixed"/>
      </w:tblPr>
      <w:tblGrid>
        <w:gridCol w:w="9972"/>
      </w:tblGrid>
      <w:tr>
        <w:trPr>
          <w:cantSplit/>
        </w:trPr>
        <w:tc>
          <w:tcPr>
            <w:tcW w:type="dxa" w:w="9972"/>
            <w:shd w:val="clear" w:color="auto" w:fill="FFF7ED"/>
          </w:tcPr>
          <w:p>
            <w:pPr>
              <w:spacing w:after="40"/>
            </w:pPr>
            <w:r>
              <w:rPr>
                <w:b/>
                <w:color w:val="C2410C"/>
                <w:sz w:val="18"/>
              </w:rPr>
              <w:t>Nota de transparencia</w:t>
            </w:r>
          </w:p>
          <w:p>
            <w:pPr>
              <w:spacing w:after="0"/>
            </w:pPr>
            <w:r>
              <w:rPr>
                <w:sz w:val="21"/>
              </w:rPr>
              <w:t>Las retrospectivas de las iteraciones 2 a 4 se redactaron el 01-10-2026 a partir del historial de Git y de los documentos del proyecto. Los hechos y las mejoras son reales y cada mejora se incorporó al proceso o al código, pero no se registraron en una reunión al cierre de cada iteración. La iteración 1 reúne el trabajo previo al primer commit y no tiene retrospectiva propia. Las iteraciones 5 y 6 se redactaron el 10-10-2026 con el mismo criterio; la 6 queda parcial hasta cerrarla (13-10-2026).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r>
        <w:rPr>
          <w:b/>
          <w:sz w:val="20"/>
        </w:rPr>
        <w:t>Formato:</w:t>
      </w:r>
      <w:r>
        <w:rPr>
          <w:sz w:val="20"/>
        </w:rPr>
        <w:t xml:space="preserve"> qué pasó, cuál fue la causa y qué se mejoró; más lo que funcionó bien.</w:t>
      </w:r>
    </w:p>
    <w:p>
      <w:pPr>
        <w:pStyle w:val="Heading1"/>
      </w:pPr>
      <w:r>
        <w:t>Iteración 2 · 26-09-2026 · Base de datos real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174"/>
        <w:gridCol w:w="3061"/>
        <w:gridCol w:w="3736"/>
      </w:tblGrid>
      <w:tr>
        <w:trPr>
          <w:cantSplit/>
          <w:tblHeader/>
        </w:trPr>
        <w:tc>
          <w:tcPr>
            <w:tcW w:type="dxa" w:w="317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pasó</w:t>
            </w:r>
          </w:p>
        </w:tc>
        <w:tc>
          <w:tcPr>
            <w:tcW w:type="dxa" w:w="306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Causa</w:t>
            </w:r>
          </w:p>
        </w:tc>
        <w:tc>
          <w:tcPr>
            <w:tcW w:type="dxa" w:w="373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mejoró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Las </w:t>
            </w:r>
            <w:r>
              <w:rPr>
                <w:b/>
                <w:sz w:val="17"/>
              </w:rPr>
              <w:t>invitaciones de usuarios fallaban</w:t>
            </w:r>
            <w:r>
              <w:rPr>
                <w:sz w:val="17"/>
              </w:rPr>
              <w:t xml:space="preserve"> al conectar con Supabase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Faltaban permisos de las tablas para la clave de servicio; la revisión local no lo podía ver</w:t>
            </w:r>
          </w:p>
        </w:tc>
        <w:tc>
          <w:tcPr>
            <w:tcW w:type="dxa" w:w="3736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Migración 0016 y </w:t>
            </w:r>
            <w:r>
              <w:rPr>
                <w:b/>
                <w:sz w:val="17"/>
              </w:rPr>
              <w:t>regla nueva</w:t>
            </w:r>
            <w:r>
              <w:rPr>
                <w:sz w:val="17"/>
              </w:rPr>
              <w:t xml:space="preserve">: toda tabla lleva permisos explícitos para </w:t>
            </w:r>
            <w:r>
              <w:rPr>
                <w:rFonts w:ascii="Consolas" w:hAnsi="Consolas" w:eastAsia="Consolas"/>
                <w:color w:val="9D174D"/>
                <w:sz w:val="16"/>
              </w:rPr>
              <w:t>authenticated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 w:eastAsia="Consolas"/>
                <w:color w:val="9D174D"/>
                <w:sz w:val="16"/>
              </w:rPr>
              <w:t>service_role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>Un lead con solicitud del titular (25-09) se podía seguir moviendo</w:t>
            </w:r>
          </w:p>
        </w:tc>
        <w:tc>
          <w:tcPr>
            <w:tcW w:type="dxa" w:w="306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>El bloqueo existía solo en pantalla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El bloqueo pasó a los </w:t>
            </w:r>
            <w:r>
              <w:rPr>
                <w:i/>
                <w:sz w:val="17"/>
              </w:rPr>
              <w:t>guards</w:t>
            </w:r>
            <w:r>
              <w:rPr>
                <w:sz w:val="17"/>
              </w:rPr>
              <w:t xml:space="preserve"> y, después, a la base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7"/>
              </w:rPr>
              <w:t>El lint contra la base encontró un error que la revisión local no veía (la exportación)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sz w:val="17"/>
              </w:rPr>
              <w:t>Una función con una columna inexistente</w:t>
            </w:r>
          </w:p>
        </w:tc>
        <w:tc>
          <w:tcPr>
            <w:tcW w:type="dxa" w:w="3736"/>
            <w:vAlign w:val="top"/>
          </w:tcPr>
          <w:p>
            <w:pPr>
              <w:spacing w:after="0"/>
            </w:pPr>
            <w:r>
              <w:rPr>
                <w:sz w:val="17"/>
              </w:rPr>
              <w:t xml:space="preserve">Migración 0013 y </w:t>
            </w:r>
            <w:r>
              <w:rPr>
                <w:b/>
                <w:sz w:val="17"/>
              </w:rPr>
              <w:t>hábito nuevo</w:t>
            </w:r>
            <w:r>
              <w:rPr>
                <w:sz w:val="17"/>
              </w:rPr>
              <w:t xml:space="preserve">: después de aplicar una migración se corre </w:t>
            </w:r>
            <w:r>
              <w:rPr>
                <w:rFonts w:ascii="Consolas" w:hAnsi="Consolas" w:eastAsia="Consolas"/>
                <w:color w:val="9D174D"/>
                <w:sz w:val="16"/>
              </w:rPr>
              <w:t>db lint</w:t>
            </w:r>
            <w:r>
              <w:rPr>
                <w:sz w:val="17"/>
              </w:rPr>
              <w:t xml:space="preserve"> y </w:t>
            </w:r>
            <w:r>
              <w:rPr>
                <w:rFonts w:ascii="Consolas" w:hAnsi="Consolas" w:eastAsia="Consolas"/>
                <w:color w:val="9D174D"/>
                <w:sz w:val="16"/>
              </w:rPr>
              <w:t>test:db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r>
        <w:rPr>
          <w:b/>
          <w:sz w:val="20"/>
        </w:rPr>
        <w:t>Funcionó bien:</w:t>
      </w:r>
      <w:r>
        <w:rPr>
          <w:sz w:val="20"/>
        </w:rPr>
        <w:t xml:space="preserve"> probar contra la base real descubrió dos errores antes de que llegaran a un usuario.</w:t>
      </w:r>
    </w:p>
    <w:p>
      <w:pPr>
        <w:pStyle w:val="Heading1"/>
      </w:pPr>
      <w:r>
        <w:t>Iteración 3 · 27-09-2026 · Publicación y seguridad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174"/>
        <w:gridCol w:w="3061"/>
        <w:gridCol w:w="3736"/>
      </w:tblGrid>
      <w:tr>
        <w:trPr>
          <w:cantSplit/>
          <w:tblHeader/>
        </w:trPr>
        <w:tc>
          <w:tcPr>
            <w:tcW w:type="dxa" w:w="317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pasó</w:t>
            </w:r>
          </w:p>
        </w:tc>
        <w:tc>
          <w:tcPr>
            <w:tcW w:type="dxa" w:w="306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Causa</w:t>
            </w:r>
          </w:p>
        </w:tc>
        <w:tc>
          <w:tcPr>
            <w:tcW w:type="dxa" w:w="373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mejoró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La revisión de seguridad de la app publicada encontró hallazgos (B1 a B11); el más grave: el asistente </w:t>
            </w:r>
            <w:r>
              <w:rPr>
                <w:b/>
                <w:sz w:val="17"/>
              </w:rPr>
              <w:t>no pedía sesión</w:t>
            </w:r>
            <w:r>
              <w:rPr>
                <w:sz w:val="17"/>
              </w:rPr>
              <w:t xml:space="preserve"> y cualquiera en internet podía usar las claves del servidor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La API se diseñó primero para el desarrollo local</w:t>
            </w:r>
          </w:p>
        </w:tc>
        <w:tc>
          <w:tcPr>
            <w:tcW w:type="dxa" w:w="3736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El asistente exige sesión de un CRM publicado; se agregó la CSP y las reglas por perfil en la base (migración 0022)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 xml:space="preserve">El ataque simulado contra la base real tuvo </w:t>
            </w:r>
            <w:r>
              <w:rPr>
                <w:b/>
                <w:sz w:val="17"/>
              </w:rPr>
              <w:t>12 fallas</w:t>
            </w:r>
          </w:p>
        </w:tc>
        <w:tc>
          <w:tcPr>
            <w:tcW w:type="dxa" w:w="306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Reglas solo en la pantalla, no en la base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 xml:space="preserve">Las reglas pasaron a la base; la prueba de ataques quedó en </w:t>
            </w:r>
            <w:r>
              <w:rPr>
                <w:rFonts w:ascii="Consolas" w:hAnsi="Consolas" w:eastAsia="Consolas"/>
                <w:color w:val="9D174D"/>
                <w:sz w:val="16"/>
              </w:rPr>
              <w:t>test:db</w:t>
            </w:r>
            <w:r>
              <w:rPr>
                <w:sz w:val="17"/>
              </w:rPr>
              <w:t xml:space="preserve"> y terminó en 0 de 37 fallas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r>
        <w:rPr>
          <w:b/>
          <w:sz w:val="20"/>
        </w:rPr>
        <w:t>Funcionó bien:</w:t>
      </w:r>
      <w:r>
        <w:rPr>
          <w:sz w:val="20"/>
        </w:rPr>
        <w:t xml:space="preserve"> revisar la seguridad antes de abrir la app a usuarios reales evitó que el fallo llegara a producción.</w:t>
      </w:r>
    </w:p>
    <w:p>
      <w:pPr>
        <w:pStyle w:val="Heading1"/>
      </w:pPr>
      <w:r>
        <w:t>Iteración 4 · 30-09-2026 · Asistente con control de costo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174"/>
        <w:gridCol w:w="3061"/>
        <w:gridCol w:w="3736"/>
      </w:tblGrid>
      <w:tr>
        <w:trPr>
          <w:cantSplit/>
          <w:tblHeader/>
        </w:trPr>
        <w:tc>
          <w:tcPr>
            <w:tcW w:type="dxa" w:w="317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pasó</w:t>
            </w:r>
          </w:p>
        </w:tc>
        <w:tc>
          <w:tcPr>
            <w:tcW w:type="dxa" w:w="306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Causa</w:t>
            </w:r>
          </w:p>
        </w:tc>
        <w:tc>
          <w:tcPr>
            <w:tcW w:type="dxa" w:w="373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mejoró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El registro de cambios de la base </w:t>
            </w:r>
            <w:r>
              <w:rPr>
                <w:b/>
                <w:sz w:val="17"/>
              </w:rPr>
              <w:t>no anotaba</w:t>
            </w:r>
            <w:r>
              <w:rPr>
                <w:sz w:val="17"/>
              </w:rPr>
              <w:t xml:space="preserve"> los cambios hechos por el servidor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El trigger ignoraba las escrituras sin sesión de persona</w:t>
            </w:r>
          </w:p>
        </w:tc>
        <w:tc>
          <w:tcPr>
            <w:tcW w:type="dxa" w:w="3736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El cambio de presupuesto y de clave pasó por funciones de la base que escriben el registro a nombre de quien lo hizo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Un campo de presupuesto </w:t>
            </w:r>
            <w:r>
              <w:rPr>
                <w:b/>
                <w:sz w:val="17"/>
              </w:rPr>
              <w:t>vacío se leía como 0</w:t>
            </w:r>
            <w:r>
              <w:rPr>
                <w:sz w:val="17"/>
              </w:rPr>
              <w:t xml:space="preserve"> y habría apagado el asistente sin que nadie lo pidiera</w:t>
            </w:r>
          </w:p>
        </w:tc>
        <w:tc>
          <w:tcPr>
            <w:tcW w:type="dxa" w:w="306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rFonts w:ascii="Consolas" w:hAnsi="Consolas" w:eastAsia="Consolas"/>
                <w:color w:val="9D174D"/>
                <w:sz w:val="16"/>
              </w:rPr>
              <w:t>Number('')</w:t>
            </w:r>
            <w:r>
              <w:rPr>
                <w:sz w:val="17"/>
              </w:rPr>
              <w:t xml:space="preserve"> es 0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>Validación corregida y cubierta por una prueba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Una sola clave de OpenAI servía a todas las empresas: la gerencia de cualquiera podía gastar la cuenta de otra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Diseño inicial con clave de la plataforma</w:t>
            </w:r>
          </w:p>
        </w:tc>
        <w:tc>
          <w:tcPr>
            <w:tcW w:type="dxa" w:w="3736"/>
            <w:vAlign w:val="top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Cada empresa trae su clave</w:t>
            </w:r>
            <w:r>
              <w:rPr>
                <w:sz w:val="17"/>
              </w:rPr>
              <w:t>, cifrada en Vault (migración 0032)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Dudas sobre si las pruebas de seguridad realmente detectaban fallas</w:t>
            </w:r>
          </w:p>
        </w:tc>
        <w:tc>
          <w:tcPr>
            <w:tcW w:type="dxa" w:w="306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Las pruebas nuevas pasaron a la primera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b/>
                <w:sz w:val="17"/>
              </w:rPr>
              <w:t>Pruebas de mutación a mano</w:t>
            </w:r>
            <w:r>
              <w:rPr>
                <w:sz w:val="17"/>
              </w:rPr>
              <w:t>: se rompió a propósito la protección y se comprobó que las pruebas fallaban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r>
        <w:rPr>
          <w:b/>
          <w:sz w:val="20"/>
        </w:rPr>
        <w:t>Funcionó bien:</w:t>
      </w:r>
      <w:r>
        <w:rPr>
          <w:sz w:val="20"/>
        </w:rPr>
        <w:t xml:space="preserve"> desconfiar de las pruebas que pasan a la primera y comprobarlas rompiendo el código a propósito.</w:t>
      </w:r>
    </w:p>
    <w:p>
      <w:pPr>
        <w:pStyle w:val="Heading1"/>
      </w:pPr>
      <w:r>
        <w:t>Iteración 5 · 30-09-2026 · Preparar el repositorio para evaluar (parcial)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174"/>
        <w:gridCol w:w="3061"/>
        <w:gridCol w:w="3736"/>
      </w:tblGrid>
      <w:tr>
        <w:trPr>
          <w:cantSplit/>
          <w:tblHeader/>
        </w:trPr>
        <w:tc>
          <w:tcPr>
            <w:tcW w:type="dxa" w:w="317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pasó</w:t>
            </w:r>
          </w:p>
        </w:tc>
        <w:tc>
          <w:tcPr>
            <w:tcW w:type="dxa" w:w="306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Causa</w:t>
            </w:r>
          </w:p>
        </w:tc>
        <w:tc>
          <w:tcPr>
            <w:tcW w:type="dxa" w:w="373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mejoró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Un escaneo previo a publicar encontró </w:t>
            </w:r>
            <w:r>
              <w:rPr>
                <w:b/>
                <w:sz w:val="17"/>
              </w:rPr>
              <w:t>capturas de pantalla con nombres y correos reales</w:t>
            </w:r>
            <w:r>
              <w:rPr>
                <w:sz w:val="17"/>
              </w:rPr>
              <w:t xml:space="preserve"> de personas de la empresa piloto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Las capturas se generaron con datos del piloto en una versión anterior</w:t>
            </w:r>
          </w:p>
        </w:tc>
        <w:tc>
          <w:tcPr>
            <w:tcW w:type="dxa" w:w="3736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Se regeneraron con la </w:t>
            </w:r>
            <w:r>
              <w:rPr>
                <w:b/>
                <w:sz w:val="17"/>
              </w:rPr>
              <w:t>demo pública (datos ficticios)</w:t>
            </w:r>
            <w:r>
              <w:rPr>
                <w:sz w:val="17"/>
              </w:rPr>
              <w:t xml:space="preserve"> y se anonimizó el historial antes de subirlo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 xml:space="preserve">La </w:t>
            </w:r>
            <w:r>
              <w:rPr>
                <w:b/>
                <w:sz w:val="17"/>
              </w:rPr>
              <w:t>demo pública mostraba nombres de personas reales y el catálogo real</w:t>
            </w:r>
            <w:r>
              <w:rPr>
                <w:sz w:val="17"/>
              </w:rPr>
              <w:t xml:space="preserve"> de la empresa piloto</w:t>
            </w:r>
          </w:p>
        </w:tc>
        <w:tc>
          <w:tcPr>
            <w:tcW w:type="dxa" w:w="306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>Los datos de demostración se construyeron a partir de la empresa con la que se pilotea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>Se reemplazaron por datos ficticios, se verificó sobre la app compilada y en producción, y se agregaron a las pruebas de fuga las contraseñas vigentes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El generador de capturas seguía usando la marca antigua y un panel que la demo pública no tiene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Nadie lo había corrido desde el cambio de nombre</w:t>
            </w:r>
          </w:p>
        </w:tc>
        <w:tc>
          <w:tcPr>
            <w:tcW w:type="dxa" w:w="3736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Se corrigió el generador y se verificó cada imagen a ojo antes de aceptarla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El repositorio de evaluación no mostraba el trabajo real</w:t>
            </w:r>
          </w:p>
        </w:tc>
        <w:tc>
          <w:tcPr>
            <w:tcW w:type="dxa" w:w="306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El código vivía en otro repositorio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El repositorio de evaluación recibe el historial completo de desarrollo y la documentación que pide el instructivo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r>
        <w:rPr>
          <w:b/>
          <w:sz w:val="20"/>
        </w:rPr>
        <w:t>Regla que queda:</w:t>
      </w:r>
      <w:r>
        <w:rPr>
          <w:sz w:val="20"/>
        </w:rPr>
        <w:t xml:space="preserve"> antes de publicar algo nuevo se buscan claves y datos de personas reales, también en el historial, y se revisan a mano las imágenes.</w:t>
      </w:r>
    </w:p>
    <w:p>
      <w:pPr>
        <w:pStyle w:val="Heading1"/>
      </w:pPr>
      <w:r>
        <w:t>Iteración 5 · cierre (06-10-2026) · Evidencias y plan con fecha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174"/>
        <w:gridCol w:w="3061"/>
        <w:gridCol w:w="3736"/>
      </w:tblGrid>
      <w:tr>
        <w:trPr>
          <w:cantSplit/>
          <w:tblHeader/>
        </w:trPr>
        <w:tc>
          <w:tcPr>
            <w:tcW w:type="dxa" w:w="317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pasó</w:t>
            </w:r>
          </w:p>
        </w:tc>
        <w:tc>
          <w:tcPr>
            <w:tcW w:type="dxa" w:w="306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Causa</w:t>
            </w:r>
          </w:p>
        </w:tc>
        <w:tc>
          <w:tcPr>
            <w:tcW w:type="dxa" w:w="373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mejoró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La clase del martes quedó escrita como 05-10 en los documentos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Se tomó la fecha de la semana, no la del día de la clase</w:t>
            </w:r>
          </w:p>
        </w:tc>
        <w:tc>
          <w:tcPr>
            <w:tcW w:type="dxa" w:w="3736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Se corrigió en el acta y el Sprint Backlog; la fecha de la clase se confirma antes de citarla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>Una entrega anterior quedó sin capturas de los documentos de evidencia</w:t>
            </w:r>
          </w:p>
        </w:tc>
        <w:tc>
          <w:tcPr>
            <w:tcW w:type="dxa" w:w="3061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>No existía una lista de lo que había que mostrar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keepNext/>
              <w:spacing w:after="0"/>
            </w:pPr>
            <w:r>
              <w:rPr>
                <w:sz w:val="17"/>
              </w:rPr>
              <w:t>Índice de evidencias con capturas (REV-09) antes de cada entrega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Al agregar la columna «Plan hasta» la prueba punta a punta fallaba (146 de 148)</w:t>
            </w:r>
          </w:p>
        </w:tc>
        <w:tc>
          <w:tcPr>
            <w:tcW w:type="dxa" w:w="3061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La prueba buscaba la columna de leads por su posición</w:t>
            </w:r>
          </w:p>
        </w:tc>
        <w:tc>
          <w:tcPr>
            <w:tcW w:type="dxa" w:w="3736"/>
            <w:vAlign w:val="top"/>
          </w:tcPr>
          <w:p>
            <w:pPr>
              <w:keepNext/>
              <w:spacing w:after="0"/>
            </w:pPr>
            <w:r>
              <w:rPr>
                <w:sz w:val="17"/>
              </w:rPr>
              <w:t>La prueba busca la columna por su encabezado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Los diagramas de arquitectura del repositorio decían 11 migraciones y Edge Functions</w:t>
            </w:r>
          </w:p>
        </w:tc>
        <w:tc>
          <w:tcPr>
            <w:tcW w:type="dxa" w:w="306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Se dibujaron en una etapa temprana y no se volvieron a revisar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Diagramas 4+1 generados desde el código, que se regeneran con el sistema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r>
        <w:rPr>
          <w:b/>
          <w:sz w:val="20"/>
        </w:rPr>
        <w:t>Funcionó bien:</w:t>
      </w:r>
      <w:r>
        <w:rPr>
          <w:sz w:val="20"/>
        </w:rPr>
        <w:t xml:space="preserve"> publicar el plan con fecha con la migración primero y las pruebas de la base real en verde (277 de 277).</w:t>
      </w:r>
    </w:p>
    <w:p>
      <w:pPr>
        <w:pStyle w:val="Heading1"/>
      </w:pPr>
      <w:r>
        <w:t>Iteración 6 · 10-10-2026 · Google Places por CRM y piloto (parcial)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3174"/>
        <w:gridCol w:w="3061"/>
        <w:gridCol w:w="3736"/>
      </w:tblGrid>
      <w:tr>
        <w:trPr>
          <w:cantSplit/>
          <w:tblHeader/>
        </w:trPr>
        <w:tc>
          <w:tcPr>
            <w:tcW w:type="dxa" w:w="3175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pasó</w:t>
            </w:r>
          </w:p>
        </w:tc>
        <w:tc>
          <w:tcPr>
            <w:tcW w:type="dxa" w:w="3061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Causa</w:t>
            </w:r>
          </w:p>
        </w:tc>
        <w:tc>
          <w:tcPr>
            <w:tcW w:type="dxa" w:w="373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7"/>
              </w:rPr>
              <w:t>Qué mejoró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7"/>
              </w:rPr>
              <w:t>El asistente entregaba empresas ficticias a un CRM sin clave de Google, y el modelo podía presentarlas como reales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sz w:val="17"/>
              </w:rPr>
              <w:t>El respaldo de demostración se pensó para desarrollo y no se separó de los CRMs reales</w:t>
            </w:r>
          </w:p>
        </w:tc>
        <w:tc>
          <w:tcPr>
            <w:tcW w:type="dxa" w:w="3736"/>
            <w:vAlign w:val="top"/>
          </w:tcPr>
          <w:p>
            <w:pPr>
              <w:spacing w:after="0"/>
            </w:pPr>
            <w:r>
              <w:rPr>
                <w:sz w:val="17"/>
              </w:rPr>
              <w:t>Se retiró la demostración ficticia y, sin clave de Google, el modelo propone sin datos de contacto; once daños hechos a mano a las protecciones fueron detectados por las pruebas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El cliente piloto consideró engorroso sacar la clave de Google y confía en que el modelo ubica bien las empresas</w:t>
            </w:r>
          </w:p>
        </w:tc>
        <w:tc>
          <w:tcPr>
            <w:tcW w:type="dxa" w:w="306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La clave de Google era obligatoria para buscar empresas reales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La clave pasó a ser opcional: sin ella el modelo propone sugerencias por verificar y sin teléfonos ni correos. Se documentó que esto debilita la garantía anterior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7"/>
              </w:rPr>
              <w:t>Una encuesta de prueba dejó el NPS en -100 en producción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sz w:val="17"/>
              </w:rPr>
              <w:t>La app solo permite insertar y leer encuestas; no hay forma de borrarlas</w:t>
            </w:r>
          </w:p>
        </w:tc>
        <w:tc>
          <w:tcPr>
            <w:tcW w:type="dxa" w:w="3736"/>
            <w:vAlign w:val="top"/>
          </w:tcPr>
          <w:p>
            <w:pPr>
              <w:spacing w:after="0"/>
            </w:pPr>
            <w:r>
              <w:rPr>
                <w:sz w:val="17"/>
              </w:rPr>
              <w:t>Se borró con una consulta acotada; los datos de prueba se hacen en el CRM de pruebas y se retiran antes de medir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El cliente pidió un flujo de prospección que incluía dueño y contacto de LinkedIn de cada empresa</w:t>
            </w:r>
          </w:p>
        </w:tc>
        <w:tc>
          <w:tcPr>
            <w:tcW w:type="dxa" w:w="306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GPT sin búsqueda en internet no puede obtenerlos sin inventarlos, y son datos de personas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El flujo se adaptó (tres datos guiados, catálogo, sin repetir, «no encontrado») y el dueño y LinkedIn quedaron como enlace de búsqueda; se documentó lo pendiente y por qué</w:t>
            </w:r>
          </w:p>
        </w:tc>
      </w:tr>
      <w:tr>
        <w:trPr>
          <w:cantSplit/>
        </w:trPr>
        <w:tc>
          <w:tcPr>
            <w:tcW w:type="dxa" w:w="3175"/>
            <w:vAlign w:val="top"/>
          </w:tcPr>
          <w:p>
            <w:pPr>
              <w:spacing w:after="0"/>
            </w:pPr>
            <w:r>
              <w:rPr>
                <w:sz w:val="17"/>
              </w:rPr>
              <w:t>El piloto figuraba como validación, pero el panel de uso mostraba 0 ingresos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>
              <w:rPr>
                <w:sz w:val="17"/>
              </w:rPr>
              <w:t>El CRM de la empresa estaba creado y configurado, pero sin uso</w:t>
            </w:r>
          </w:p>
        </w:tc>
        <w:tc>
          <w:tcPr>
            <w:tcW w:type="dxa" w:w="3736"/>
            <w:vAlign w:val="top"/>
          </w:tcPr>
          <w:p>
            <w:pPr>
              <w:spacing w:after="0"/>
            </w:pPr>
            <w:r>
              <w:rPr>
                <w:sz w:val="17"/>
              </w:rPr>
              <w:t>La justificación se escribió con lo medido: el piloto tiene métricas y metas, y no se afirman resultados que no existen</w:t>
            </w:r>
          </w:p>
        </w:tc>
      </w:tr>
      <w:tr>
        <w:trPr>
          <w:cantSplit/>
        </w:trPr>
        <w:tc>
          <w:tcPr>
            <w:tcW w:type="dxa" w:w="3175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Los primeros diagramas del 4+1 tenían flechas cruzando cajas y textos pisados</w:t>
            </w:r>
          </w:p>
        </w:tc>
        <w:tc>
          <w:tcPr>
            <w:tcW w:type="dxa" w:w="3061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Se dibujaron por coordenadas sin revisar el resultado</w:t>
            </w:r>
          </w:p>
        </w:tc>
        <w:tc>
          <w:tcPr>
            <w:tcW w:type="dxa" w:w="373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7"/>
              </w:rPr>
              <w:t>Cada diagrama se renderiza y se revisa a ojo; se corrigió hasta quedar legible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p>
      <w:r>
        <w:rPr>
          <w:b/>
          <w:sz w:val="20"/>
        </w:rPr>
        <w:t>Funcionó bien:</w:t>
      </w:r>
      <w:r>
        <w:rPr>
          <w:sz w:val="20"/>
        </w:rPr>
        <w:t xml:space="preserve"> probar el límite de búsquedas contra la base real antes de aplicar la migración (ensayo con todo deshecho: 335 de 335).</w:t>
      </w:r>
    </w:p>
    <w:p>
      <w:pPr>
        <w:pStyle w:val="Heading1"/>
      </w:pPr>
      <w:r>
        <w:t>Acciones de mejora incorporadas</w:t>
      </w:r>
    </w:p>
    <w:tbl>
      <w:tblPr>
        <w:tblW w:type="dxa" w:w="9972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50" w:type="dxa"/>
          <w:left w:w="90" w:type="dxa"/>
          <w:bottom w:w="50" w:type="dxa"/>
          <w:right w:w="90" w:type="dxa"/>
        </w:tblCellMar>
        <w:tblLayout w:type="fixed"/>
      </w:tblPr>
      <w:tblGrid>
        <w:gridCol w:w="5215"/>
        <w:gridCol w:w="4756"/>
      </w:tblGrid>
      <w:tr>
        <w:trPr>
          <w:cantSplit/>
          <w:tblHeader/>
        </w:trPr>
        <w:tc>
          <w:tcPr>
            <w:tcW w:type="dxa" w:w="5216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757"/>
            <w:shd w:val="clear" w:color="auto" w:fill="3730A3"/>
            <w:vAlign w:val="center"/>
          </w:tcPr>
          <w:p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Dónde quedó</w:t>
            </w:r>
          </w:p>
        </w:tc>
      </w:tr>
      <w:tr>
        <w:trPr>
          <w:cantSplit/>
        </w:trPr>
        <w:tc>
          <w:tcPr>
            <w:tcW w:type="dxa" w:w="5216"/>
            <w:vAlign w:val="top"/>
          </w:tcPr>
          <w:p>
            <w:pPr>
              <w:spacing w:after="0"/>
            </w:pPr>
            <w:r>
              <w:rPr>
                <w:sz w:val="18"/>
              </w:rPr>
              <w:t xml:space="preserve">Permisos explícitos por tabla para </w:t>
            </w:r>
            <w:r>
              <w:rPr>
                <w:rFonts w:ascii="Consolas" w:hAnsi="Consolas" w:eastAsia="Consolas"/>
                <w:color w:val="9D174D"/>
                <w:sz w:val="17"/>
              </w:rPr>
              <w:t>authenticated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eastAsia="Consolas"/>
                <w:color w:val="9D174D"/>
                <w:sz w:val="17"/>
              </w:rPr>
              <w:t>service_role</w:t>
            </w:r>
          </w:p>
        </w:tc>
        <w:tc>
          <w:tcPr>
            <w:tcW w:type="dxa" w:w="4757"/>
            <w:vAlign w:val="top"/>
          </w:tcPr>
          <w:p>
            <w:pPr>
              <w:spacing w:after="0"/>
            </w:pPr>
            <w:r>
              <w:rPr>
                <w:sz w:val="18"/>
              </w:rPr>
              <w:t>Migración 0016 y convención de tablas</w:t>
            </w:r>
          </w:p>
        </w:tc>
      </w:tr>
      <w:tr>
        <w:trPr>
          <w:cantSplit/>
        </w:trPr>
        <w:tc>
          <w:tcPr>
            <w:tcW w:type="dxa" w:w="521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 xml:space="preserve">Correr </w:t>
            </w:r>
            <w:r>
              <w:rPr>
                <w:rFonts w:ascii="Consolas" w:hAnsi="Consolas" w:eastAsia="Consolas"/>
                <w:color w:val="9D174D"/>
                <w:sz w:val="17"/>
              </w:rPr>
              <w:t>db lint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eastAsia="Consolas"/>
                <w:color w:val="9D174D"/>
                <w:sz w:val="17"/>
              </w:rPr>
              <w:t>test:db</w:t>
            </w:r>
            <w:r>
              <w:rPr>
                <w:sz w:val="18"/>
              </w:rPr>
              <w:t xml:space="preserve"> después de aplicar cada migración</w:t>
            </w:r>
          </w:p>
        </w:tc>
        <w:tc>
          <w:tcPr>
            <w:tcW w:type="dxa" w:w="475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Definition of Done (REV-05), sección de base de datos</w:t>
            </w:r>
          </w:p>
        </w:tc>
      </w:tr>
      <w:tr>
        <w:trPr>
          <w:cantSplit/>
        </w:trPr>
        <w:tc>
          <w:tcPr>
            <w:tcW w:type="dxa" w:w="5216"/>
            <w:vAlign w:val="top"/>
          </w:tcPr>
          <w:p>
            <w:pPr>
              <w:spacing w:after="0"/>
            </w:pPr>
            <w:r>
              <w:rPr>
                <w:sz w:val="18"/>
              </w:rPr>
              <w:t>Bloquear en los guards y en la base al lead con solicitud pendiente</w:t>
            </w:r>
          </w:p>
        </w:tc>
        <w:tc>
          <w:tcPr>
            <w:tcW w:type="dxa" w:w="4757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src/lib/tenantGuards.ts</w:t>
            </w:r>
            <w:r>
              <w:rPr>
                <w:sz w:val="18"/>
              </w:rPr>
              <w:t xml:space="preserve"> y base de datos; invariante 9</w:t>
            </w:r>
          </w:p>
        </w:tc>
      </w:tr>
      <w:tr>
        <w:trPr>
          <w:cantSplit/>
        </w:trPr>
        <w:tc>
          <w:tcPr>
            <w:tcW w:type="dxa" w:w="521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Reglas por perfil dentro de la base</w:t>
            </w:r>
          </w:p>
        </w:tc>
        <w:tc>
          <w:tcPr>
            <w:tcW w:type="dxa" w:w="475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 xml:space="preserve">Migración 0022; </w:t>
            </w:r>
            <w:r>
              <w:rPr>
                <w:rFonts w:ascii="Consolas" w:hAnsi="Consolas" w:eastAsia="Consolas"/>
                <w:color w:val="9D174D"/>
                <w:sz w:val="17"/>
              </w:rPr>
              <w:t>test:db</w:t>
            </w:r>
            <w:r>
              <w:rPr>
                <w:sz w:val="18"/>
              </w:rPr>
              <w:t xml:space="preserve"> en 0 fallas</w:t>
            </w:r>
          </w:p>
        </w:tc>
      </w:tr>
      <w:tr>
        <w:trPr>
          <w:cantSplit/>
        </w:trPr>
        <w:tc>
          <w:tcPr>
            <w:tcW w:type="dxa" w:w="5216"/>
            <w:vAlign w:val="top"/>
          </w:tcPr>
          <w:p>
            <w:pPr>
              <w:spacing w:after="0"/>
            </w:pPr>
            <w:r>
              <w:rPr>
                <w:sz w:val="18"/>
              </w:rPr>
              <w:t>Sesión obligatoria para el asistente publicado y política de contenido (CSP)</w:t>
            </w:r>
          </w:p>
        </w:tc>
        <w:tc>
          <w:tcPr>
            <w:tcW w:type="dxa" w:w="4757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server/session.ts</w:t>
            </w:r>
            <w:r>
              <w:rPr>
                <w:sz w:val="18"/>
              </w:rPr>
              <w:t>; configuración de publicación</w:t>
            </w:r>
          </w:p>
        </w:tc>
      </w:tr>
      <w:tr>
        <w:trPr>
          <w:cantSplit/>
        </w:trPr>
        <w:tc>
          <w:tcPr>
            <w:tcW w:type="dxa" w:w="521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Cambios de presupuesto y de clave registrados por funciones de la base</w:t>
            </w:r>
          </w:p>
        </w:tc>
        <w:tc>
          <w:tcPr>
            <w:tcW w:type="dxa" w:w="475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Migraciones 0031 y 0032</w:t>
            </w:r>
          </w:p>
        </w:tc>
      </w:tr>
      <w:tr>
        <w:trPr>
          <w:cantSplit/>
        </w:trPr>
        <w:tc>
          <w:tcPr>
            <w:tcW w:type="dxa" w:w="5216"/>
            <w:vAlign w:val="top"/>
          </w:tcPr>
          <w:p>
            <w:pPr>
              <w:spacing w:after="0"/>
            </w:pPr>
            <w:r>
              <w:rPr>
                <w:sz w:val="18"/>
              </w:rPr>
              <w:t>Cada empresa con su propia clave de OpenAI, cifrada</w:t>
            </w:r>
          </w:p>
        </w:tc>
        <w:tc>
          <w:tcPr>
            <w:tcW w:type="dxa" w:w="4757"/>
            <w:vAlign w:val="top"/>
          </w:tcPr>
          <w:p>
            <w:pPr>
              <w:spacing w:after="0"/>
            </w:pPr>
            <w:r>
              <w:rPr>
                <w:sz w:val="18"/>
              </w:rPr>
              <w:t>Migración 0032 (Vault)</w:t>
            </w:r>
          </w:p>
        </w:tc>
      </w:tr>
      <w:tr>
        <w:trPr>
          <w:cantSplit/>
        </w:trPr>
        <w:tc>
          <w:tcPr>
            <w:tcW w:type="dxa" w:w="521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Pruebas de mutación a mano para las pruebas de seguridad</w:t>
            </w:r>
          </w:p>
        </w:tc>
        <w:tc>
          <w:tcPr>
            <w:tcW w:type="dxa" w:w="475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test:ai</w:t>
            </w:r>
          </w:p>
        </w:tc>
      </w:tr>
      <w:tr>
        <w:trPr>
          <w:cantSplit/>
        </w:trPr>
        <w:tc>
          <w:tcPr>
            <w:tcW w:type="dxa" w:w="5216"/>
            <w:vAlign w:val="top"/>
          </w:tcPr>
          <w:p>
            <w:pPr>
              <w:spacing w:after="0"/>
            </w:pPr>
            <w:r>
              <w:rPr>
                <w:sz w:val="18"/>
              </w:rPr>
              <w:t>Escanear claves y datos reales antes de publicar, también en el historial</w:t>
            </w:r>
          </w:p>
        </w:tc>
        <w:tc>
          <w:tcPr>
            <w:tcW w:type="dxa" w:w="4757"/>
            <w:vAlign w:val="top"/>
          </w:tcPr>
          <w:p>
            <w:pPr>
              <w:spacing w:after="0"/>
            </w:pPr>
            <w:r>
              <w:rPr>
                <w:sz w:val="18"/>
              </w:rPr>
              <w:t>Checklist «Antes de publicar» (REV-05)</w:t>
            </w:r>
          </w:p>
        </w:tc>
      </w:tr>
      <w:tr>
        <w:trPr>
          <w:cantSplit/>
        </w:trPr>
        <w:tc>
          <w:tcPr>
            <w:tcW w:type="dxa" w:w="521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Google Places opcional: sin clave el modelo propone sin teléfonos ni correos; el límite de búsquedas lo fija la gerencia</w:t>
            </w:r>
          </w:p>
        </w:tc>
        <w:tc>
          <w:tcPr>
            <w:tcW w:type="dxa" w:w="475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 xml:space="preserve">Migración 0034; </w:t>
            </w:r>
            <w:r>
              <w:rPr>
                <w:rFonts w:ascii="Consolas" w:hAnsi="Consolas" w:eastAsia="Consolas"/>
                <w:color w:val="9D174D"/>
                <w:sz w:val="17"/>
              </w:rPr>
              <w:t>test:ai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 w:eastAsia="Consolas"/>
                <w:color w:val="9D174D"/>
                <w:sz w:val="17"/>
              </w:rPr>
              <w:t>test:db</w:t>
            </w:r>
          </w:p>
        </w:tc>
      </w:tr>
      <w:tr>
        <w:trPr>
          <w:cantSplit/>
        </w:trPr>
        <w:tc>
          <w:tcPr>
            <w:tcW w:type="dxa" w:w="5216"/>
            <w:vAlign w:val="top"/>
          </w:tcPr>
          <w:p>
            <w:pPr>
              <w:spacing w:after="0"/>
            </w:pPr>
            <w:r>
              <w:rPr>
                <w:sz w:val="18"/>
              </w:rPr>
              <w:t>Diagramas de arquitectura generados desde el código</w:t>
            </w:r>
          </w:p>
        </w:tc>
        <w:tc>
          <w:tcPr>
            <w:tcW w:type="dxa" w:w="4757"/>
            <w:vAlign w:val="top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9D174D"/>
                <w:sz w:val="17"/>
              </w:rPr>
              <w:t>npm run diagramas:4mas1</w:t>
            </w:r>
            <w:r>
              <w:rPr>
                <w:sz w:val="18"/>
              </w:rPr>
              <w:t xml:space="preserve"> (REV-07)</w:t>
            </w:r>
          </w:p>
        </w:tc>
      </w:tr>
      <w:tr>
        <w:trPr>
          <w:cantSplit/>
        </w:trPr>
        <w:tc>
          <w:tcPr>
            <w:tcW w:type="dxa" w:w="5216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Índice de evidencias con capturas antes de cada entrega</w:t>
            </w:r>
          </w:p>
        </w:tc>
        <w:tc>
          <w:tcPr>
            <w:tcW w:type="dxa" w:w="4757"/>
            <w:vAlign w:val="top"/>
            <w:shd w:val="clear" w:color="auto" w:fill="F8FAFC"/>
          </w:tcPr>
          <w:p>
            <w:pPr>
              <w:spacing w:after="0"/>
            </w:pPr>
            <w:r>
              <w:rPr>
                <w:sz w:val="18"/>
              </w:rPr>
              <w:t>REV-09</w:t>
            </w:r>
          </w:p>
        </w:tc>
      </w:tr>
    </w:tbl>
    <w:p>
      <w:pPr>
        <w:spacing w:after="0" w:before="0" w:line="120" w:lineRule="exact"/>
      </w:pPr>
      <w:r>
        <w:rPr>
          <w:sz w:val="1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lear" w:pos="4680"/>
        <w:tab w:val="clear" w:pos="9360"/>
        <w:tab w:val="right" w:pos="9972"/>
      </w:tabs>
    </w:pPr>
    <w:r/>
    <w:r>
      <w:rPr>
        <w:color w:val="475569"/>
        <w:sz w:val="17"/>
      </w:rPr>
      <w:t>Revela · Duoc UC · CAPSTONE APT122 · REV-06</w:t>
    </w:r>
    <w:r>
      <w:rPr>
        <w:color w:val="475569"/>
        <w:sz w:val="17"/>
      </w:rPr>
      <w:tab/>
      <w:t xml:space="preserve">Página </w:t>
    </w:r>
    <w:r>
      <w:rPr>
        <w:color w:val="47556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475569"/>
        <w:sz w:val="17"/>
      </w:rPr>
      <w:t xml:space="preserve"> de </w:t>
    </w:r>
    <w:r>
      <w:rPr>
        <w:color w:val="475569"/>
        <w:sz w:val="17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CBD5E1"/>
      </w:pBdr>
    </w:pPr>
    <w:r/>
    <w:r>
      <w:rPr>
        <w:color w:val="475569"/>
        <w:sz w:val="17"/>
      </w:rPr>
      <w:t>Revela · Retrospectivas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3730A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i w:val="0"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REV-06</dc:title>
  <dc:subject/>
  <dc:creator>Yair Hamir Costa Pérez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