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Arquitectura del sistema · modelo 4+1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Vistas lógica, de procesos, de desarrollo y física, más los escenarios · Revela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REV-07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1.0 · 10-10-2026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i/>
          <w:color w:val="475569"/>
          <w:sz w:val="18"/>
        </w:rPr>
        <w:t xml:space="preserve">Los diagramas describen el sistema tal como está publicado el 10-10-2026 (Vercel y Supabase), no un diseño futuro. Se generan desde el código con </w:t>
      </w:r>
      <w:r>
        <w:rPr>
          <w:rFonts w:ascii="Consolas" w:hAnsi="Consolas" w:eastAsia="Consolas"/>
          <w:color w:val="9D174D"/>
          <w:sz w:val="17"/>
        </w:rPr>
        <w:t>npm run diagramas:4mas1</w:t>
      </w:r>
      <w:r>
        <w:rPr>
          <w:i/>
          <w:color w:val="475569"/>
          <w:sz w:val="18"/>
        </w:rPr>
        <w:t>, así que se pueden regenerar cuando el sistema cambie.</w:t>
      </w:r>
    </w:p>
    <w:p>
      <w:pPr>
        <w:pStyle w:val="Heading1"/>
      </w:pPr>
      <w:r>
        <w:t>1. Propósito y modelo</w:t>
      </w:r>
    </w:p>
    <w:p>
      <w:r>
        <w:t xml:space="preserve">Este documento describe la arquitectura de Revela con el </w:t>
      </w:r>
      <w:r>
        <w:rPr>
          <w:b/>
        </w:rPr>
        <w:t>modelo 4+1 de vistas</w:t>
      </w:r>
      <w:r>
        <w:t xml:space="preserve"> de Philippe Kruchten (1995). En vez de un solo diagrama que intenta mostrarlo todo, el modelo usa </w:t>
      </w:r>
      <w:r>
        <w:rPr>
          <w:b/>
        </w:rPr>
        <w:t>cuatro vistas</w:t>
      </w:r>
      <w:r>
        <w:t xml:space="preserve"> de la arquitectura, cada una pensada para responder una pregunta distinta, y un </w:t>
      </w:r>
      <w:r>
        <w:rPr>
          <w:b/>
        </w:rPr>
        <w:t>quinto elemento, los escenarios</w:t>
      </w:r>
      <w:r>
        <w:t>, que son los casos de uso que recorren las cuatro vistas y comprueban que se sostienen entre sí.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00"/>
        <w:gridCol w:w="3628"/>
        <w:gridCol w:w="2494"/>
        <w:gridCol w:w="2148"/>
      </w:tblGrid>
      <w:tr>
        <w:trPr>
          <w:cantSplit/>
          <w:tblHeader/>
        </w:trPr>
        <w:tc>
          <w:tcPr>
            <w:tcW w:type="dxa" w:w="170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type="dxa" w:w="362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Pregunta que responde</w:t>
            </w:r>
          </w:p>
        </w:tc>
        <w:tc>
          <w:tcPr>
            <w:tcW w:type="dxa" w:w="249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Para quién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Diagrama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Lógica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¿Qué conceptos y datos maneja el sistema y cómo se relacionan?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Quien diseña la base y analiza el negocio</w:t>
            </w:r>
          </w:p>
        </w:tc>
        <w:tc>
          <w:tcPr>
            <w:tcW w:type="dxa" w:w="2149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Modelo de datos (entidad-relación)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De procesos</w:t>
            </w:r>
          </w:p>
        </w:tc>
        <w:tc>
          <w:tcPr>
            <w:tcW w:type="dxa" w:w="3628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¿Qué ocurre en ejecución y en qué orden? ¿Qué corre por su cuenta?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Quien integra y quien opera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Secuencia y proceso en segundo plano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De desarrollo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¿Cómo está organizado el código y qué depende de qué?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Quien programa y mantiene</w:t>
            </w:r>
          </w:p>
        </w:tc>
        <w:tc>
          <w:tcPr>
            <w:tcW w:type="dxa" w:w="2149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Capas y paquetes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Física</w:t>
            </w:r>
          </w:p>
        </w:tc>
        <w:tc>
          <w:tcPr>
            <w:tcW w:type="dxa" w:w="3628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¿Dónde corre cada pieza y cómo llega el código a producción?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Quien despliega y administra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Despliegue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  <w:sz w:val="18"/>
              </w:rPr>
              <w:t>Escenarios (+1)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sz w:val="18"/>
              </w:rPr>
              <w:t>¿Cómo lo usan las personas? ¿Las cuatro vistas se sostienen?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8"/>
              </w:rPr>
              <w:t>Todos, y quien evalúa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Casos de uso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2. El sistema en una página</w:t>
      </w:r>
    </w:p>
    <w:p>
      <w:r>
        <w:rPr>
          <w:b/>
        </w:rPr>
        <w:t>Revela</w:t>
      </w:r>
      <w:r>
        <w:t xml:space="preserve"> es un CRM SaaS multiempresa con inteligencia geográfica: captura leads, los ubica en un mapa </w:t>
      </w:r>
      <w:r>
        <w:rPr>
          <w:b/>
        </w:rPr>
        <w:t>por zona oficial</w:t>
      </w:r>
      <w:r>
        <w:t xml:space="preserve"> (comuna, distrito, municipio…), mide qué se vende y dónde, y opera en los 19 países de América Latina. Está publicado en https://revela-henna.vercel.app y en piloto con una empresa real.</w:t>
      </w:r>
    </w:p>
    <w:p>
      <w:pPr>
        <w:pStyle w:val="ListBullet"/>
      </w:pPr>
      <w:r>
        <w:rPr>
          <w:b/>
        </w:rPr>
        <w:t>Interfaz:</w:t>
      </w:r>
      <w:r>
        <w:t xml:space="preserve"> aplicación de una página con React 19, TypeScript, Tailwind y Leaflet.</w:t>
      </w:r>
    </w:p>
    <w:p>
      <w:pPr>
        <w:pStyle w:val="ListBullet"/>
      </w:pPr>
      <w:r>
        <w:rPr>
          <w:b/>
        </w:rPr>
        <w:t>Servidor:</w:t>
      </w:r>
      <w:r>
        <w:t xml:space="preserve"> una función de Node en Vercel (</w:t>
      </w:r>
      <w:r>
        <w:rPr>
          <w:rFonts w:ascii="Consolas" w:hAnsi="Consolas" w:eastAsia="Consolas"/>
          <w:color w:val="9D174D"/>
        </w:rPr>
        <w:t>/api</w:t>
      </w:r>
      <w:r>
        <w:t>) con el asistente de IA, los tipos de cambio y las invitaciones.</w:t>
      </w:r>
    </w:p>
    <w:p>
      <w:pPr>
        <w:pStyle w:val="ListBullet"/>
      </w:pPr>
      <w:r>
        <w:rPr>
          <w:b/>
        </w:rPr>
        <w:t>Datos:</w:t>
      </w:r>
      <w:r>
        <w:t xml:space="preserve"> Supabase en São Paulo con PostgreSQL, PostGIS, Auth, Vault y pg_cron; 34 migraciones aplicadas.</w:t>
      </w:r>
    </w:p>
    <w:p>
      <w:pPr>
        <w:pStyle w:val="ListBullet"/>
      </w:pPr>
      <w:r>
        <w:rPr>
          <w:b/>
        </w:rPr>
        <w:t>Aislamiento:</w:t>
      </w:r>
      <w:r>
        <w:t xml:space="preserve"> muchas empresas comparten una base y no se mezclan, por reglas de la propia base (RLS y triggers), no solo de la aplicación.</w:t>
      </w:r>
    </w:p>
    <w:p>
      <w:pPr>
        <w:pStyle w:val="ListBullet"/>
      </w:pPr>
      <w:r>
        <w:rPr>
          <w:b/>
        </w:rPr>
        <w:t>Calidad:</w:t>
      </w:r>
      <w:r>
        <w:t xml:space="preserve"> más de 800 verificaciones automáticas, entre ellas pruebas de ataque desde dentro contra la base real.</w:t>
      </w:r>
    </w:p>
    <w:p>
      <w:pPr>
        <w:sectPr>
          <w:headerReference w:type="default" r:id="rId9"/>
          <w:footerReference w:type="default" r:id="rId10"/>
          <w:pgSz w:w="12240" w:h="15840"/>
          <w:pgMar w:top="1134" w:right="1134" w:bottom="1020" w:left="1134" w:header="510" w:footer="510" w:gutter="0"/>
          <w:cols w:space="720"/>
          <w:docGrid w:linePitch="360"/>
        </w:sectPr>
      </w:pPr>
    </w:p>
    <w:p>
      <w:pPr>
        <w:pStyle w:val="Heading1"/>
      </w:pPr>
      <w:r>
        <w:t>3. Vista lógica</w:t>
      </w:r>
    </w:p>
    <w:p>
      <w:r>
        <w:t xml:space="preserve">Responde a qué conceptos maneja el sistema y cómo se relacionan: es el modelo de datos de PostgreSQL con PostGIS. Las 28 tablas que llevan </w:t>
      </w:r>
      <w:r>
        <w:rPr>
          <w:rFonts w:ascii="Consolas" w:hAnsi="Consolas" w:eastAsia="Consolas"/>
          <w:color w:val="9D174D"/>
        </w:rPr>
        <w:t>company_id</w:t>
      </w:r>
      <w:r>
        <w:t xml:space="preserve"> tienen RLS.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063999" cy="4900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mas1-1-log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63999" cy="490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7"/>
        </w:rPr>
        <w:t>Figura 1. Vista lógica: modelo de datos de Revela.</w:t>
      </w:r>
    </w:p>
    <w:p>
      <w:pPr>
        <w:pStyle w:val="ListBullet"/>
      </w:pPr>
      <w:r>
        <w:rPr>
          <w:b/>
          <w:sz w:val="19"/>
        </w:rPr>
        <w:t>Todo dato pertenece a un CRM</w:t>
      </w:r>
      <w:r>
        <w:rPr>
          <w:sz w:val="19"/>
        </w:rPr>
        <w:t xml:space="preserve"> (</w:t>
      </w:r>
      <w:r>
        <w:rPr>
          <w:rFonts w:ascii="Consolas" w:hAnsi="Consolas" w:eastAsia="Consolas"/>
          <w:color w:val="9D174D"/>
          <w:sz w:val="18"/>
        </w:rPr>
        <w:t>company_id</w:t>
      </w:r>
      <w:r>
        <w:rPr>
          <w:sz w:val="19"/>
        </w:rPr>
        <w:t>) y la base impide que una fila apunte a otro CRM: es la regla que sostiene el producto.</w:t>
      </w:r>
    </w:p>
    <w:p>
      <w:pPr>
        <w:pStyle w:val="ListBullet"/>
      </w:pPr>
      <w:r>
        <w:rPr>
          <w:b/>
          <w:sz w:val="19"/>
        </w:rPr>
        <w:t>La ubicación es una zona oficial</w:t>
      </w:r>
      <w:r>
        <w:rPr>
          <w:sz w:val="19"/>
        </w:rPr>
        <w:t xml:space="preserve"> (</w:t>
      </w:r>
      <w:r>
        <w:rPr>
          <w:rFonts w:ascii="Consolas" w:hAnsi="Consolas" w:eastAsia="Consolas"/>
          <w:color w:val="9D174D"/>
          <w:sz w:val="18"/>
        </w:rPr>
        <w:t>territories</w:t>
      </w:r>
      <w:r>
        <w:rPr>
          <w:sz w:val="19"/>
        </w:rPr>
        <w:t xml:space="preserve"> copiada de </w:t>
      </w:r>
      <w:r>
        <w:rPr>
          <w:rFonts w:ascii="Consolas" w:hAnsi="Consolas" w:eastAsia="Consolas"/>
          <w:color w:val="9D174D"/>
          <w:sz w:val="18"/>
        </w:rPr>
        <w:t>zone_catalog</w:t>
      </w:r>
      <w:r>
        <w:rPr>
          <w:sz w:val="19"/>
        </w:rPr>
        <w:t>), nunca una coordenada: la base no tiene columnas para guardarla.</w:t>
      </w:r>
    </w:p>
    <w:p>
      <w:pPr>
        <w:pStyle w:val="ListBullet"/>
      </w:pPr>
      <w:r>
        <w:rPr>
          <w:b/>
          <w:sz w:val="19"/>
        </w:rPr>
        <w:t>Las tablas del asistente de IA</w:t>
      </w:r>
      <w:r>
        <w:rPr>
          <w:sz w:val="19"/>
        </w:rPr>
        <w:t xml:space="preserve"> no las lee ni las escribe ninguna persona con sesión; las claves viven cifradas en Vault y la tabla guarda solo un puntero.</w:t>
      </w:r>
    </w:p>
    <w:p>
      <w:pPr>
        <w:sectPr>
          <w:pgSz w:w="15840" w:h="12240" w:orient="landscape"/>
          <w:pgMar w:top="1077" w:right="907" w:bottom="850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4. Vista de procesos</w:t>
      </w:r>
    </w:p>
    <w:p>
      <w:r>
        <w:t>Responde a qué ocurre en ejecución y en qué orden. Se muestra el proceso más complejo del sistema, buscar y guardar una empresa con el asistente de IA, y el proceso que corre por su cuenta cada noche.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416000" cy="4563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mas1-2-proce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16000" cy="456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7"/>
        </w:rPr>
        <w:t>Figura 2. Vista de procesos: secuencia del asistente de IA y suspensión automática de planes vencidos.</w:t>
      </w:r>
    </w:p>
    <w:p>
      <w:pPr>
        <w:pStyle w:val="ListBullet"/>
      </w:pPr>
      <w:r>
        <w:rPr>
          <w:b/>
          <w:sz w:val="19"/>
        </w:rPr>
        <w:t>El servidor decide y el modelo propone:</w:t>
      </w:r>
      <w:r>
        <w:rPr>
          <w:sz w:val="19"/>
        </w:rPr>
        <w:t xml:space="preserve"> la IA solo puede pedir las herramientas permitidas; guardar un lead lo ejecuta el navegador con las reglas del CRM.</w:t>
      </w:r>
    </w:p>
    <w:p>
      <w:pPr>
        <w:pStyle w:val="ListBullet"/>
      </w:pPr>
      <w:r>
        <w:rPr>
          <w:b/>
          <w:sz w:val="19"/>
        </w:rPr>
        <w:t>Google Places es opcional:</w:t>
      </w:r>
      <w:r>
        <w:rPr>
          <w:sz w:val="19"/>
        </w:rPr>
        <w:t xml:space="preserve"> el cupo se descuenta de forma atómica; sin clave, cupo o respuesta, el modelo propone sin datos de contacto.</w:t>
      </w:r>
    </w:p>
    <w:p>
      <w:pPr>
        <w:pStyle w:val="ListBullet"/>
      </w:pPr>
      <w:r>
        <w:rPr>
          <w:b/>
          <w:sz w:val="19"/>
        </w:rPr>
        <w:t>La suspensión de planes vencidos corre sola</w:t>
      </w:r>
      <w:r>
        <w:rPr>
          <w:sz w:val="19"/>
        </w:rPr>
        <w:t xml:space="preserve"> cada noche: desactiva el CRM, nunca lo borra, y deja una entrada en el historial.</w:t>
      </w:r>
    </w:p>
    <w:p>
      <w:pPr>
        <w:sectPr>
          <w:pgSz w:w="15840" w:h="12240" w:orient="landscape"/>
          <w:pgMar w:top="1077" w:right="907" w:bottom="850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5. Vista de desarrollo</w:t>
      </w:r>
    </w:p>
    <w:p>
      <w:r>
        <w:t>Responde a cómo está organizado el código y qué depende de qué: capas con dependencia hacia abajo, de la interfaz a la base de datos.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063999" cy="45902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mas1-3-desarrol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63999" cy="459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7"/>
        </w:rPr>
        <w:t>Figura 3. Vista de desarrollo: capas y paquetes del repositorio.</w:t>
      </w:r>
    </w:p>
    <w:p>
      <w:pPr>
        <w:pStyle w:val="ListBullet"/>
      </w:pPr>
      <w:r>
        <w:rPr>
          <w:b/>
          <w:sz w:val="19"/>
        </w:rPr>
        <w:t>La lógica que se puede probar sin navegador está en `src/lib` como funciones puras:</w:t>
      </w:r>
      <w:r>
        <w:rPr>
          <w:sz w:val="19"/>
        </w:rPr>
        <w:t xml:space="preserve"> por eso se prueba rápido y a fondo.</w:t>
      </w:r>
    </w:p>
    <w:p>
      <w:pPr>
        <w:pStyle w:val="ListBullet"/>
      </w:pPr>
      <w:r>
        <w:rPr>
          <w:b/>
          <w:sz w:val="19"/>
        </w:rPr>
        <w:t>Los módulos pesados (mapa, administración, asistente) se cargan al abrirlos:</w:t>
      </w:r>
      <w:r>
        <w:rPr>
          <w:sz w:val="19"/>
        </w:rPr>
        <w:t xml:space="preserve"> la app baja unos 190 KB al entrar.</w:t>
      </w:r>
    </w:p>
    <w:p>
      <w:pPr>
        <w:pStyle w:val="ListBullet"/>
      </w:pPr>
      <w:r>
        <w:rPr>
          <w:b/>
          <w:sz w:val="19"/>
        </w:rPr>
        <w:t>La API es la misma en desarrollo y publicada:</w:t>
      </w:r>
      <w:r>
        <w:rPr>
          <w:sz w:val="19"/>
        </w:rPr>
        <w:t xml:space="preserve"> </w:t>
      </w:r>
      <w:r>
        <w:rPr>
          <w:rFonts w:ascii="Consolas" w:hAnsi="Consolas" w:eastAsia="Consolas"/>
          <w:color w:val="9D174D"/>
          <w:sz w:val="18"/>
        </w:rPr>
        <w:t>server/api.ts</w:t>
      </w:r>
      <w:r>
        <w:rPr>
          <w:sz w:val="19"/>
        </w:rPr>
        <w:t xml:space="preserve"> la arma desde las variables de entorno, dentro de Vite o en la función de Vercel.</w:t>
      </w:r>
    </w:p>
    <w:p>
      <w:pPr>
        <w:sectPr>
          <w:pgSz w:w="15840" w:h="12240" w:orient="landscape"/>
          <w:pgMar w:top="1077" w:right="907" w:bottom="850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6. Vista física</w:t>
      </w:r>
    </w:p>
    <w:p>
      <w:r>
        <w:t>Responde a dónde corre cada pieza y cómo llega el código a producción: el navegador, Vercel, Supabase y los servicios externos.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063999" cy="49004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mas1-4-fisi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63999" cy="490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7"/>
        </w:rPr>
        <w:t>Figura 4. Vista física: despliegue en Vercel y Supabase, con los servicios externos.</w:t>
      </w:r>
    </w:p>
    <w:p>
      <w:pPr>
        <w:pStyle w:val="ListBullet"/>
      </w:pPr>
      <w:r>
        <w:rPr>
          <w:b/>
          <w:sz w:val="19"/>
        </w:rPr>
        <w:t>Las claves del servidor viven solo en variables de entorno;</w:t>
      </w:r>
      <w:r>
        <w:rPr>
          <w:sz w:val="19"/>
        </w:rPr>
        <w:t xml:space="preserve"> las de IA y de Google Places son de cada CRM y están cifradas en Vault.</w:t>
      </w:r>
    </w:p>
    <w:p>
      <w:pPr>
        <w:pStyle w:val="ListBullet"/>
      </w:pPr>
      <w:r>
        <w:rPr>
          <w:b/>
          <w:sz w:val="19"/>
        </w:rPr>
        <w:t>El código llega con cada push a `main`:</w:t>
      </w:r>
      <w:r>
        <w:rPr>
          <w:sz w:val="19"/>
        </w:rPr>
        <w:t xml:space="preserve"> Vercel compila y publica, y si algo sale mal vuelve a la versión anterior con un clic.</w:t>
      </w:r>
    </w:p>
    <w:p>
      <w:pPr>
        <w:pStyle w:val="ListBullet"/>
      </w:pPr>
      <w:r>
        <w:rPr>
          <w:b/>
          <w:sz w:val="19"/>
        </w:rPr>
        <w:t>La migración se aplica antes que el código:</w:t>
      </w:r>
      <w:r>
        <w:rPr>
          <w:sz w:val="19"/>
        </w:rPr>
        <w:t xml:space="preserve"> la app nueva puede leer columnas que la base vieja aún no tiene.</w:t>
      </w:r>
    </w:p>
    <w:p>
      <w:pPr>
        <w:sectPr>
          <w:pgSz w:w="15840" w:h="12240" w:orient="landscape"/>
          <w:pgMar w:top="1077" w:right="907" w:bottom="850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7. Escenarios</w:t>
      </w:r>
    </w:p>
    <w:p>
      <w:r>
        <w:t>El «+1» del modelo: casos de uso que recorren las cuatro vistas. Cinco de ellos (E1 a E5) se trazan contra las vistas en la sección 8.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063999" cy="4962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mas1-5-escenar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63999" cy="4962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7"/>
        </w:rPr>
        <w:t>Figura 5. Escenarios: actores y casos de uso de Revela.</w:t>
      </w:r>
    </w:p>
    <w:p>
      <w:pPr>
        <w:pStyle w:val="ListBullet"/>
      </w:pPr>
      <w:r>
        <w:rPr>
          <w:b/>
          <w:sz w:val="19"/>
        </w:rPr>
        <w:t>Tres perfiles de personas</w:t>
      </w:r>
      <w:r>
        <w:rPr>
          <w:sz w:val="19"/>
        </w:rPr>
        <w:t xml:space="preserve"> (usuario base, gerente y administrador de la plataforma), más el titular de los datos, el visitante de la demo y una tarea automática.</w:t>
      </w:r>
    </w:p>
    <w:p>
      <w:pPr>
        <w:pStyle w:val="ListBullet"/>
      </w:pPr>
      <w:r>
        <w:rPr>
          <w:b/>
          <w:sz w:val="19"/>
        </w:rPr>
        <w:t>El gerente hace todo lo del usuario base</w:t>
      </w:r>
      <w:r>
        <w:rPr>
          <w:sz w:val="19"/>
        </w:rPr>
        <w:t xml:space="preserve"> y además administra su CRM: usuarios, países, catálogo, presupuesto y límites.</w:t>
      </w:r>
    </w:p>
    <w:p>
      <w:pPr>
        <w:pStyle w:val="ListBullet"/>
      </w:pPr>
      <w:r>
        <w:rPr>
          <w:b/>
          <w:sz w:val="19"/>
        </w:rPr>
        <w:t>El administrador de la plataforma</w:t>
      </w:r>
      <w:r>
        <w:rPr>
          <w:sz w:val="19"/>
        </w:rPr>
        <w:t xml:space="preserve"> crea y suspende CRMs y fija su plan; el uso de cada CRM lo ve solo como números.</w:t>
      </w:r>
    </w:p>
    <w:p>
      <w:pPr>
        <w:sectPr>
          <w:pgSz w:w="15840" w:h="12240" w:orient="landscape"/>
          <w:pgMar w:top="1077" w:right="907" w:bottom="850" w:left="907" w:header="510" w:footer="510" w:gutter="0"/>
          <w:cols w:space="720"/>
          <w:docGrid w:linePitch="360"/>
        </w:sectPr>
      </w:pPr>
    </w:p>
    <w:p>
      <w:pPr>
        <w:pStyle w:val="Heading1"/>
      </w:pPr>
      <w:r>
        <w:t>8. Trazabilidad entre vistas</w:t>
      </w:r>
    </w:p>
    <w:p>
      <w:r>
        <w:t>Cada escenario se sostiene en las cuatro vistas: tiene datos que lo respaldan, un proceso, código que lo implementa y un lugar donde corre.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814"/>
        <w:gridCol w:w="2494"/>
        <w:gridCol w:w="1700"/>
        <w:gridCol w:w="2040"/>
        <w:gridCol w:w="1921"/>
      </w:tblGrid>
      <w:tr>
        <w:trPr>
          <w:cantSplit/>
          <w:tblHeader/>
        </w:trPr>
        <w:tc>
          <w:tcPr>
            <w:tcW w:type="dxa" w:w="181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249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Lógica (datos)</w:t>
            </w:r>
          </w:p>
        </w:tc>
        <w:tc>
          <w:tcPr>
            <w:tcW w:type="dxa" w:w="170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Procesos</w:t>
            </w:r>
          </w:p>
        </w:tc>
        <w:tc>
          <w:tcPr>
            <w:tcW w:type="dxa" w:w="204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Desarrollo (código)</w:t>
            </w:r>
          </w:p>
        </w:tc>
        <w:tc>
          <w:tcPr>
            <w:tcW w:type="dxa" w:w="192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Física (dónde)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E1</w:t>
            </w:r>
            <w:r>
              <w:rPr>
                <w:sz w:val="16"/>
              </w:rPr>
              <w:t xml:space="preserve"> · Pedir al asistente que busque empresas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company_places_keys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company_places_settings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places_usage_monthly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company_ai_*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/>
            </w:pPr>
            <w:r>
              <w:rPr>
                <w:sz w:val="16"/>
              </w:rPr>
              <w:t>Secuencia de 12 pasos (Figura 2)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server/aiChat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leadSearch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placesKeys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placesUsage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color w:val="9D174D"/>
                <w:sz w:val="15"/>
              </w:rPr>
              <w:t>AiChatWidget</w:t>
            </w:r>
          </w:p>
        </w:tc>
        <w:tc>
          <w:tcPr>
            <w:tcW w:type="dxa" w:w="1922"/>
            <w:vAlign w:val="top"/>
          </w:tcPr>
          <w:p>
            <w:pPr>
              <w:keepNext/>
              <w:spacing w:after="0"/>
            </w:pPr>
            <w:r>
              <w:rPr>
                <w:sz w:val="16"/>
              </w:rPr>
              <w:t xml:space="preserve">Función </w:t>
            </w:r>
            <w:r>
              <w:rPr>
                <w:rFonts w:ascii="Consolas" w:hAnsi="Consolas" w:eastAsia="Consolas"/>
                <w:color w:val="9D174D"/>
                <w:sz w:val="15"/>
              </w:rPr>
              <w:t>/api/ai</w:t>
            </w:r>
            <w:r>
              <w:rPr>
                <w:sz w:val="16"/>
              </w:rPr>
              <w:t xml:space="preserve"> en Vercel; OpenAI, Google Places; claves en Vault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E2</w:t>
            </w:r>
            <w:r>
              <w:rPr>
                <w:sz w:val="16"/>
              </w:rPr>
              <w:t xml:space="preserve"> · Capturar un lead y moverlo por el pipeline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leads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lead_contacts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client_accounts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territories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audit_log</w:t>
            </w:r>
          </w:p>
        </w:tc>
        <w:tc>
          <w:tcPr>
            <w:tcW w:type="dxa" w:w="170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6"/>
              </w:rPr>
              <w:t>Reglas del CRM, RLS y auditoría al guardar</w:t>
            </w:r>
          </w:p>
        </w:tc>
        <w:tc>
          <w:tcPr>
            <w:tcW w:type="dxa" w:w="204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LeadCaptureModal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KanbanBoard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tenantGuards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permissions</w:t>
            </w:r>
          </w:p>
        </w:tc>
        <w:tc>
          <w:tcPr>
            <w:tcW w:type="dxa" w:w="192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6"/>
              </w:rPr>
              <w:t>Navegador → Supabase directo, con token y RLS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E3</w:t>
            </w:r>
            <w:r>
              <w:rPr>
                <w:sz w:val="16"/>
              </w:rPr>
              <w:t xml:space="preserve"> · Derechos del titular (acceso, rectificación, supresión)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lead_privacy_requests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leads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audit_log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/>
            </w:pPr>
            <w:r>
              <w:rPr>
                <w:sz w:val="16"/>
              </w:rPr>
              <w:t>La solicitud bloquea el lead hasta que el gerente la resuelve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PrivacyRequestModal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privacy</w:t>
            </w:r>
          </w:p>
        </w:tc>
        <w:tc>
          <w:tcPr>
            <w:tcW w:type="dxa" w:w="1922"/>
            <w:vAlign w:val="top"/>
          </w:tcPr>
          <w:p>
            <w:pPr>
              <w:keepNext/>
              <w:spacing w:after="0"/>
            </w:pPr>
            <w:r>
              <w:rPr>
                <w:sz w:val="16"/>
              </w:rPr>
              <w:t>Supabase (RLS y triggers)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b/>
                <w:sz w:val="16"/>
              </w:rPr>
              <w:t>E4</w:t>
            </w:r>
            <w:r>
              <w:rPr>
                <w:sz w:val="16"/>
              </w:rPr>
              <w:t xml:space="preserve"> · Suspensión de un CRM con plan vencido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companies.plan_ends_on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audit_log</w:t>
            </w:r>
          </w:p>
        </w:tc>
        <w:tc>
          <w:tcPr>
            <w:tcW w:type="dxa" w:w="170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6"/>
              </w:rPr>
              <w:t>Tarea nocturna con gracia hasta el lunes (Figura 2)</w:t>
            </w:r>
          </w:p>
        </w:tc>
        <w:tc>
          <w:tcPr>
            <w:tcW w:type="dxa" w:w="204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plan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PlanBanner</w:t>
            </w:r>
            <w:r>
              <w:rPr>
                <w:sz w:val="16"/>
              </w:rPr>
              <w:t>, migración 0033</w:t>
            </w:r>
          </w:p>
        </w:tc>
        <w:tc>
          <w:tcPr>
            <w:tcW w:type="dxa" w:w="192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pg_cron</w:t>
            </w:r>
            <w:r>
              <w:rPr>
                <w:sz w:val="16"/>
              </w:rPr>
              <w:t xml:space="preserve"> en Supabase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E5</w:t>
            </w:r>
            <w:r>
              <w:rPr>
                <w:sz w:val="16"/>
              </w:rPr>
              <w:t xml:space="preserve"> · Fijar presupuesto de IA, clave y límite de búsquedas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company_ai_settings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company_places_settings</w:t>
            </w:r>
            <w:r>
              <w:rPr>
                <w:sz w:val="16"/>
              </w:rPr>
              <w:t>, claves en Vault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6"/>
              </w:rPr>
              <w:t>Solo la gerencia, verificada en el servidor y de nuevo en la base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AiChatWidget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aiBudget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placesUsage</w:t>
            </w:r>
          </w:p>
        </w:tc>
        <w:tc>
          <w:tcPr>
            <w:tcW w:type="dxa" w:w="1922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Función </w:t>
            </w:r>
            <w:r>
              <w:rPr>
                <w:rFonts w:ascii="Consolas" w:hAnsi="Consolas" w:eastAsia="Consolas"/>
                <w:color w:val="9D174D"/>
                <w:sz w:val="15"/>
              </w:rPr>
              <w:t>/api/ai</w:t>
            </w:r>
            <w:r>
              <w:rPr>
                <w:sz w:val="16"/>
              </w:rPr>
              <w:t>; Supabase Vault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9. Decisiones de arquitectura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664"/>
        <w:gridCol w:w="4535"/>
        <w:gridCol w:w="2772"/>
      </w:tblGrid>
      <w:tr>
        <w:trPr>
          <w:cantSplit/>
          <w:tblHeader/>
        </w:trPr>
        <w:tc>
          <w:tcPr>
            <w:tcW w:type="dxa" w:w="266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453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Por qué</w:t>
            </w:r>
          </w:p>
        </w:tc>
        <w:tc>
          <w:tcPr>
            <w:tcW w:type="dxa" w:w="277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Alternativa descartada</w:t>
            </w:r>
          </w:p>
        </w:tc>
      </w:tr>
      <w:tr>
        <w:trPr>
          <w:cantSplit/>
        </w:trP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Una base compartida para todos los CRMs, aislados por RLS y triggers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6"/>
              </w:rPr>
              <w:t>Costo bajo y una sola base que operar; el aislamiento se prueba con ataques desde dentro (335 pruebas contra la base real).</w:t>
            </w:r>
          </w:p>
        </w:tc>
        <w:tc>
          <w:tcPr>
            <w:tcW w:type="dxa" w:w="2772"/>
            <w:vAlign w:val="top"/>
          </w:tcPr>
          <w:p>
            <w:pPr>
              <w:spacing w:after="0"/>
            </w:pPr>
            <w:r>
              <w:rPr>
                <w:sz w:val="16"/>
              </w:rPr>
              <w:t>Una base por cliente: más aislamiento, pero más costo y operación.</w:t>
            </w:r>
          </w:p>
        </w:tc>
      </w:tr>
      <w:tr>
        <w:trPr>
          <w:cantSplit/>
        </w:trPr>
        <w:tc>
          <w:tcPr>
            <w:tcW w:type="dxa" w:w="266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Las reglas viven en la base, no solo en la aplicación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La aplicación no es de confianza: un cliente con herramientas de desarrollador se saltaría las reglas de pantalla.</w:t>
            </w:r>
          </w:p>
        </w:tc>
        <w:tc>
          <w:tcPr>
            <w:tcW w:type="dxa" w:w="277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Validar solo en la interfaz.</w:t>
            </w:r>
          </w:p>
        </w:tc>
      </w:tr>
      <w:tr>
        <w:trPr>
          <w:cantSplit/>
        </w:trP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Ubicación por zona oficial, nunca por coordenada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6"/>
              </w:rPr>
              <w:t>Un lead no revela el domicilio de una persona; reduce el riesgo bajo la Ley 21.719. La base no tiene columnas para coordenadas.</w:t>
            </w:r>
          </w:p>
        </w:tc>
        <w:tc>
          <w:tcPr>
            <w:tcW w:type="dxa" w:w="2772"/>
            <w:vAlign w:val="top"/>
          </w:tcPr>
          <w:p>
            <w:pPr>
              <w:spacing w:after="0"/>
            </w:pPr>
            <w:r>
              <w:rPr>
                <w:sz w:val="16"/>
              </w:rPr>
              <w:t>Geocodificar direcciones y guardar puntos.</w:t>
            </w:r>
          </w:p>
        </w:tc>
      </w:tr>
      <w:tr>
        <w:trPr>
          <w:cantSplit/>
        </w:trPr>
        <w:tc>
          <w:tcPr>
            <w:tcW w:type="dxa" w:w="266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Montos guardados en su moneda, sin convertir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Convertir al guardar pierde información y depende de una tasa; se convierte solo para mostrar y sumar.</w:t>
            </w:r>
          </w:p>
        </w:tc>
        <w:tc>
          <w:tcPr>
            <w:tcW w:type="dxa" w:w="277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Guardar todo en una moneda única.</w:t>
            </w:r>
          </w:p>
        </w:tc>
      </w:tr>
      <w:tr>
        <w:trPr>
          <w:cantSplit/>
        </w:trP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Claves de IA y de Google Places por CRM, cifradas en Vault; la de Google es opcional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6"/>
              </w:rPr>
              <w:t>El costo lo asume quien usa el servicio, ninguna clave ajena queda en claro y el cliente no queda obligado a sacar una clave de Google (decisión del 12-10-2026).</w:t>
            </w:r>
          </w:p>
        </w:tc>
        <w:tc>
          <w:tcPr>
            <w:tcW w:type="dxa" w:w="2772"/>
            <w:vAlign w:val="top"/>
          </w:tcPr>
          <w:p>
            <w:pPr>
              <w:spacing w:after="0"/>
            </w:pPr>
            <w:r>
              <w:rPr>
                <w:sz w:val="16"/>
              </w:rPr>
              <w:t>Una clave de la plataforma compartida por todos.</w:t>
            </w:r>
          </w:p>
        </w:tc>
      </w:tr>
      <w:tr>
        <w:trPr>
          <w:cantSplit/>
        </w:trPr>
        <w:tc>
          <w:tcPr>
            <w:tcW w:type="dxa" w:w="266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Una sola función de Vercel para toda la API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El mismo código corre en desarrollo y publicado; se prueba empaquetada con </w:t>
            </w:r>
            <w:r>
              <w:rPr>
                <w:rFonts w:ascii="Consolas" w:hAnsi="Consolas" w:eastAsia="Consolas"/>
                <w:color w:val="9D174D"/>
                <w:sz w:val="15"/>
              </w:rPr>
              <w:t>npm run test:vercel</w:t>
            </w:r>
            <w:r>
              <w:rPr>
                <w:sz w:val="16"/>
              </w:rPr>
              <w:t>.</w:t>
            </w:r>
          </w:p>
        </w:tc>
        <w:tc>
          <w:tcPr>
            <w:tcW w:type="dxa" w:w="277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Funciones sueltas o Edge Functions de Supabase (primer diseño).</w:t>
            </w:r>
          </w:p>
        </w:tc>
      </w:tr>
      <w:tr>
        <w:trPr>
          <w:cantSplit/>
        </w:trP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6"/>
              </w:rPr>
              <w:t>Historial que solo se agrega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6"/>
              </w:rPr>
              <w:t>Trazabilidad legal: revertir crea una entrada nueva y nunca guarda valores personales.</w:t>
            </w:r>
          </w:p>
        </w:tc>
        <w:tc>
          <w:tcPr>
            <w:tcW w:type="dxa" w:w="2772"/>
            <w:vAlign w:val="top"/>
          </w:tcPr>
          <w:p>
            <w:pPr>
              <w:spacing w:after="0"/>
            </w:pPr>
            <w:r>
              <w:rPr>
                <w:sz w:val="16"/>
              </w:rPr>
              <w:t>Editar o borrar entradas del historial.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10. Alcance y límites</w:t>
      </w:r>
    </w:p>
    <w:p>
      <w:pPr>
        <w:pStyle w:val="ListBullet"/>
      </w:pPr>
      <w:r>
        <w:rPr>
          <w:b/>
        </w:rPr>
        <w:t>Pagos en línea (Flow):</w:t>
      </w:r>
      <w:r>
        <w:t xml:space="preserve"> aún no están construidos; en la vista física figuran punteados.</w:t>
      </w:r>
    </w:p>
    <w:p>
      <w:pPr>
        <w:pStyle w:val="ListBullet"/>
      </w:pPr>
      <w:r>
        <w:rPr>
          <w:b/>
        </w:rPr>
        <w:t>Usuarios incluidos por plan (3 y 6):</w:t>
      </w:r>
      <w:r>
        <w:t xml:space="preserve"> el precio los declara, pero el sistema todavía no los exige.</w:t>
      </w:r>
    </w:p>
    <w:p>
      <w:pPr>
        <w:pStyle w:val="ListBullet"/>
      </w:pPr>
      <w:r>
        <w:rPr>
          <w:b/>
        </w:rPr>
        <w:t>Docker:</w:t>
      </w:r>
      <w:r>
        <w:t xml:space="preserve"> los archivos existen, pero no se probó el arranque en un equipo con Docker (la historia HU-16 lleva asterisco).</w:t>
      </w:r>
    </w:p>
    <w:p>
      <w:pPr>
        <w:pStyle w:val="ListBullet"/>
      </w:pPr>
      <w:r>
        <w:rPr>
          <w:b/>
        </w:rPr>
        <w:t>Diagramas anteriores</w:t>
      </w:r>
      <w:r>
        <w:t xml:space="preserve"> (</w:t>
      </w:r>
      <w:r>
        <w:rPr>
          <w:rFonts w:ascii="Consolas" w:hAnsi="Consolas" w:eastAsia="Consolas"/>
          <w:color w:val="9D174D"/>
        </w:rPr>
        <w:t>docs/diagramas/arquitectura-revela</w:t>
      </w:r>
      <w:r>
        <w:t>): quedaron desactualizados; estos los reemplazan. Las cifras de pruebas son las de la última corrida completa.</w:t>
      </w:r>
    </w:p>
    <w:sectPr w:rsidR="00FC693F" w:rsidRPr="0006063C" w:rsidSect="00034616"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REV-07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Arquitectura del sistema (4+1)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REV-07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