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Retrospectivas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Qué mejoró el proceso en cada iteración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1.0 · 01-10-2026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6" w:space="0" w:color="C2410C"/>
          <w:left w:val="single" w:sz="6" w:space="0" w:color="C2410C"/>
          <w:bottom w:val="single" w:sz="6" w:space="0" w:color="C2410C"/>
          <w:right w:val="single" w:sz="6" w:space="0" w:color="C2410C"/>
          <w:insideH w:val="single" w:sz="6" w:space="0" w:color="C2410C"/>
          <w:insideV w:val="single" w:sz="6" w:space="0" w:color="C2410C"/>
        </w:tblBorders>
        <w:tblCellMar>
          <w:top w:w="100" w:type="dxa"/>
          <w:left w:w="160" w:type="dxa"/>
          <w:bottom w:w="100" w:type="dxa"/>
          <w:right w:w="160" w:type="dxa"/>
        </w:tblCellMar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FF7ED"/>
          </w:tcPr>
          <w:p>
            <w:pPr>
              <w:spacing w:after="40"/>
            </w:pPr>
            <w:r>
              <w:rPr>
                <w:b/>
                <w:color w:val="C2410C"/>
                <w:sz w:val="18"/>
              </w:rPr>
              <w:t>Nota de transparencia</w:t>
            </w:r>
          </w:p>
          <w:p>
            <w:pPr>
              <w:spacing w:after="0"/>
            </w:pPr>
            <w:r>
              <w:rPr>
                <w:sz w:val="21"/>
              </w:rPr>
              <w:t>Las retrospectivas de las iteraciones 2 a 4 se redactaron el 01-10-2026 a partir del historial de Git y de los documentos del proyecto. Los hechos y las mejoras son reales y cada mejora se incorporó al proceso o al código, pero no se registraron en una reunión al cierre de cada iteración. La iteración 1 reúne el trabajo previo al primer commit y no tiene retrospectiva propia. La iteración 5 se completa al cerrarla (06-10-2026).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Formato:</w:t>
      </w:r>
      <w:r>
        <w:rPr>
          <w:sz w:val="20"/>
        </w:rPr>
        <w:t xml:space="preserve"> qué pasó, cuál fue la causa y qué se mejoró; más lo que funcionó bien.</w:t>
      </w:r>
    </w:p>
    <w:p>
      <w:pPr>
        <w:pStyle w:val="Heading1"/>
      </w:pPr>
      <w:r>
        <w:t>Iteración 2 · 26-09-2026 · Base de datos real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3061"/>
        <w:gridCol w:w="3736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pasó</w:t>
            </w:r>
          </w:p>
        </w:tc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mejoró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Las </w:t>
            </w:r>
            <w:r>
              <w:rPr>
                <w:b/>
                <w:sz w:val="17"/>
              </w:rPr>
              <w:t>invitaciones de usuarios fallaban</w:t>
            </w:r>
            <w:r>
              <w:rPr>
                <w:sz w:val="17"/>
              </w:rPr>
              <w:t xml:space="preserve"> al conectar con Supabase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Faltaban permisos de las tablas para la clave de servicio; la revisión local no lo podía ver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Migración 0016 y </w:t>
            </w:r>
            <w:r>
              <w:rPr>
                <w:b/>
                <w:sz w:val="17"/>
              </w:rPr>
              <w:t>regla nueva</w:t>
            </w:r>
            <w:r>
              <w:rPr>
                <w:sz w:val="17"/>
              </w:rPr>
              <w:t xml:space="preserve">: toda tabla lleva permisos explícitos para </w:t>
            </w:r>
            <w:r>
              <w:rPr>
                <w:rFonts w:ascii="Consolas" w:hAnsi="Consolas" w:eastAsia="Consolas"/>
                <w:color w:val="9D174D"/>
                <w:sz w:val="16"/>
              </w:rPr>
              <w:t>authenticated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6"/>
              </w:rPr>
              <w:t>service_role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Un lead con solicitud del titular (25-09) se podía seguir moviendo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El bloqueo existía solo en pantalla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El bloqueo pasó a los </w:t>
            </w:r>
            <w:r>
              <w:rPr>
                <w:i/>
                <w:sz w:val="17"/>
              </w:rPr>
              <w:t>guards</w:t>
            </w:r>
            <w:r>
              <w:rPr>
                <w:sz w:val="17"/>
              </w:rPr>
              <w:t xml:space="preserve"> y, después, a la base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7"/>
              </w:rPr>
              <w:t>El lint contra la base encontró un error que la revisión local no veía (la exportación)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7"/>
              </w:rPr>
              <w:t>Una función con una columna inexistente</w:t>
            </w:r>
          </w:p>
        </w:tc>
        <w:tc>
          <w:tcPr>
            <w:tcW w:type="dxa" w:w="3736"/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Migración 0013 y </w:t>
            </w:r>
            <w:r>
              <w:rPr>
                <w:b/>
                <w:sz w:val="17"/>
              </w:rPr>
              <w:t>hábito nuevo</w:t>
            </w:r>
            <w:r>
              <w:rPr>
                <w:sz w:val="17"/>
              </w:rPr>
              <w:t xml:space="preserve">: después de aplicar una migración se corre </w:t>
            </w:r>
            <w:r>
              <w:rPr>
                <w:rFonts w:ascii="Consolas" w:hAnsi="Consolas" w:eastAsia="Consolas"/>
                <w:color w:val="9D174D"/>
                <w:sz w:val="16"/>
              </w:rPr>
              <w:t>db lint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6"/>
              </w:rPr>
              <w:t>test:db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Funcionó bien:</w:t>
      </w:r>
      <w:r>
        <w:rPr>
          <w:sz w:val="20"/>
        </w:rPr>
        <w:t xml:space="preserve"> probar contra la base real descubrió dos errores antes de que llegaran a un usuario.</w:t>
      </w:r>
    </w:p>
    <w:p>
      <w:pPr>
        <w:pStyle w:val="Heading1"/>
      </w:pPr>
      <w:r>
        <w:t>Iteración 3 · 27-09-2026 · Publicación y seguridad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3061"/>
        <w:gridCol w:w="3736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pasó</w:t>
            </w:r>
          </w:p>
        </w:tc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mejoró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La revisión de seguridad de la app publicada encontró hallazgos (B1 a B11); el más grave: el asistente </w:t>
            </w:r>
            <w:r>
              <w:rPr>
                <w:b/>
                <w:sz w:val="17"/>
              </w:rPr>
              <w:t>no pedía sesión</w:t>
            </w:r>
            <w:r>
              <w:rPr>
                <w:sz w:val="17"/>
              </w:rPr>
              <w:t xml:space="preserve"> y cualquiera en internet podía usar las claves del servidor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La API se diseñó primero para el desarrollo local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El asistente exige sesión de un CRM publicado; se agregó la CSP y las reglas por perfil en la base (migración 0022)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 xml:space="preserve">El ataque simulado contra la base real tuvo </w:t>
            </w:r>
            <w:r>
              <w:rPr>
                <w:b/>
                <w:sz w:val="17"/>
              </w:rPr>
              <w:t>12 fallas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Reglas solo en la pantalla, no en la base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 xml:space="preserve">Las reglas pasaron a la base; la prueba de ataques quedó en </w:t>
            </w:r>
            <w:r>
              <w:rPr>
                <w:rFonts w:ascii="Consolas" w:hAnsi="Consolas" w:eastAsia="Consolas"/>
                <w:color w:val="9D174D"/>
                <w:sz w:val="16"/>
              </w:rPr>
              <w:t>test:db</w:t>
            </w:r>
            <w:r>
              <w:rPr>
                <w:sz w:val="17"/>
              </w:rPr>
              <w:t xml:space="preserve"> y terminó en 0 de 37 fallas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Funcionó bien:</w:t>
      </w:r>
      <w:r>
        <w:rPr>
          <w:sz w:val="20"/>
        </w:rPr>
        <w:t xml:space="preserve"> revisar la seguridad antes de abrir la app a usuarios reales evitó que el fallo llegara a producción.</w:t>
      </w:r>
    </w:p>
    <w:p>
      <w:pPr>
        <w:pStyle w:val="Heading1"/>
      </w:pPr>
      <w:r>
        <w:t>Iteración 4 · 30-09-2026 · Asistente con control de costo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3061"/>
        <w:gridCol w:w="3736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pasó</w:t>
            </w:r>
          </w:p>
        </w:tc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mejoró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El registro de cambios de la base </w:t>
            </w:r>
            <w:r>
              <w:rPr>
                <w:b/>
                <w:sz w:val="17"/>
              </w:rPr>
              <w:t>no anotaba</w:t>
            </w:r>
            <w:r>
              <w:rPr>
                <w:sz w:val="17"/>
              </w:rPr>
              <w:t xml:space="preserve"> los cambios hechos por el servidor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El trigger ignoraba las escrituras sin sesión de persona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El cambio de presupuesto y de clave pasó por funciones de la base que escriben el registro a nombre de quien lo hizo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Un campo de presupuesto </w:t>
            </w:r>
            <w:r>
              <w:rPr>
                <w:b/>
                <w:sz w:val="17"/>
              </w:rPr>
              <w:t>vacío se leía como 0</w:t>
            </w:r>
            <w:r>
              <w:rPr>
                <w:sz w:val="17"/>
              </w:rPr>
              <w:t xml:space="preserve"> y habría apagado el asistente sin que nadie lo pidiera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6"/>
              </w:rPr>
              <w:t>Number('')</w:t>
            </w:r>
            <w:r>
              <w:rPr>
                <w:sz w:val="17"/>
              </w:rPr>
              <w:t xml:space="preserve"> es 0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Validación corregida y cubierta por una prueba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Una sola clave de OpenAI servía a todas las empresas: la gerencia de cualquiera podía gastar la cuenta de otra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Diseño inicial con clave de la plataforma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Cada empresa trae su clave</w:t>
            </w:r>
            <w:r>
              <w:rPr>
                <w:sz w:val="17"/>
              </w:rPr>
              <w:t>, cifrada en Vault (migración 0032)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Dudas sobre si las pruebas de seguridad realmente detectaban fallas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Las pruebas nuevas pasaron a la primera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b/>
                <w:sz w:val="17"/>
              </w:rPr>
              <w:t>Pruebas de mutación a mano</w:t>
            </w:r>
            <w:r>
              <w:rPr>
                <w:sz w:val="17"/>
              </w:rPr>
              <w:t>: se rompió a propósito la protección y se comprobó que las pruebas fallaban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Funcionó bien:</w:t>
      </w:r>
      <w:r>
        <w:rPr>
          <w:sz w:val="20"/>
        </w:rPr>
        <w:t xml:space="preserve"> desconfiar de las pruebas que pasan a la primera y comprobarlas rompiendo el código a propósito.</w:t>
      </w:r>
    </w:p>
    <w:p>
      <w:pPr>
        <w:pStyle w:val="Heading1"/>
      </w:pPr>
      <w:r>
        <w:t>Iteración 5 · 30-09-2026 · Preparar el repositorio para evaluar (parcial)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3061"/>
        <w:gridCol w:w="3736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pasó</w:t>
            </w:r>
          </w:p>
        </w:tc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mejoró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Un escaneo previo a publicar encontró </w:t>
            </w:r>
            <w:r>
              <w:rPr>
                <w:b/>
                <w:sz w:val="17"/>
              </w:rPr>
              <w:t>capturas de pantalla con nombres y correos reales</w:t>
            </w:r>
            <w:r>
              <w:rPr>
                <w:sz w:val="17"/>
              </w:rPr>
              <w:t xml:space="preserve"> de personas de la empresa piloto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Las capturas se generaron con datos del piloto en una versión anterior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Se regeneraron con la </w:t>
            </w:r>
            <w:r>
              <w:rPr>
                <w:b/>
                <w:sz w:val="17"/>
              </w:rPr>
              <w:t>demo pública (datos ficticios)</w:t>
            </w:r>
            <w:r>
              <w:rPr>
                <w:sz w:val="17"/>
              </w:rPr>
              <w:t xml:space="preserve"> y se anonimizó el historial antes de subirlo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La </w:t>
            </w:r>
            <w:r>
              <w:rPr>
                <w:b/>
                <w:sz w:val="17"/>
              </w:rPr>
              <w:t>demo pública mostraba nombres de personas reales y el catálogo real</w:t>
            </w:r>
            <w:r>
              <w:rPr>
                <w:sz w:val="17"/>
              </w:rPr>
              <w:t xml:space="preserve"> de la empresa piloto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Los datos de demostración se construyeron a partir de la empresa con la que se pilotea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Se reemplazaron por datos ficticios, se verificó sobre la app compilada y en producción, y se agregaron a las pruebas de fuga las contraseñas vigentes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El generador de capturas seguía usando la marca antigua y un panel que la demo pública no tiene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Nadie lo había corrido desde el cambio de nombre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Se corrigió el generador y se verificó cada imagen a ojo antes de aceptarla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El repositorio de evaluación no mostraba el trabajo real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El código vivía en otro repositorio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El repositorio de evaluación recibe el historial completo de desarrollo y la documentación que pide el instructivo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Regla que queda:</w:t>
      </w:r>
      <w:r>
        <w:rPr>
          <w:sz w:val="20"/>
        </w:rPr>
        <w:t xml:space="preserve"> antes de publicar algo nuevo se buscan claves y datos de personas reales, también en el historial, y se revisan a mano las imágenes.</w:t>
      </w:r>
    </w:p>
    <w:p>
      <w:pPr>
        <w:pStyle w:val="Heading1"/>
      </w:pPr>
      <w:r>
        <w:t>Acciones de mejora incorporadas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215"/>
        <w:gridCol w:w="4756"/>
      </w:tblGrid>
      <w:tr>
        <w:trPr>
          <w:cantSplit/>
          <w:tblHeader/>
        </w:trPr>
        <w:tc>
          <w:tcPr>
            <w:tcW w:type="dxa" w:w="521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757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Dónde quedó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Permisos explícitos por tabla para </w:t>
            </w:r>
            <w:r>
              <w:rPr>
                <w:rFonts w:ascii="Consolas" w:hAnsi="Consolas" w:eastAsia="Consolas"/>
                <w:color w:val="9D174D"/>
                <w:sz w:val="17"/>
              </w:rPr>
              <w:t>authenticated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7"/>
              </w:rPr>
              <w:t>service_role</w:t>
            </w:r>
          </w:p>
        </w:tc>
        <w:tc>
          <w:tcPr>
            <w:tcW w:type="dxa" w:w="4757"/>
            <w:vAlign w:val="top"/>
          </w:tcPr>
          <w:p>
            <w:pPr>
              <w:spacing w:after="0"/>
            </w:pPr>
            <w:r>
              <w:rPr>
                <w:sz w:val="18"/>
              </w:rPr>
              <w:t>Migración 0016 y convención de tablas</w:t>
            </w:r>
          </w:p>
        </w:tc>
      </w:tr>
      <w:tr>
        <w:trPr>
          <w:cantSplit/>
        </w:trPr>
        <w:tc>
          <w:tcPr>
            <w:tcW w:type="dxa" w:w="521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 xml:space="preserve">Correr </w:t>
            </w:r>
            <w:r>
              <w:rPr>
                <w:rFonts w:ascii="Consolas" w:hAnsi="Consolas" w:eastAsia="Consolas"/>
                <w:color w:val="9D174D"/>
                <w:sz w:val="17"/>
              </w:rPr>
              <w:t>db lint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7"/>
              </w:rPr>
              <w:t>test:db</w:t>
            </w:r>
            <w:r>
              <w:rPr>
                <w:sz w:val="18"/>
              </w:rPr>
              <w:t xml:space="preserve"> después de aplicar cada migración</w:t>
            </w:r>
          </w:p>
        </w:tc>
        <w:tc>
          <w:tcPr>
            <w:tcW w:type="dxa" w:w="475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Definition of Done (REV-05), sección de base de datos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sz w:val="18"/>
              </w:rPr>
              <w:t>Bloquear en los guards y en la base al lead con solicitud pendiente</w:t>
            </w:r>
          </w:p>
        </w:tc>
        <w:tc>
          <w:tcPr>
            <w:tcW w:type="dxa" w:w="475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src/lib/tenantGuards.ts</w:t>
            </w:r>
            <w:r>
              <w:rPr>
                <w:sz w:val="18"/>
              </w:rPr>
              <w:t xml:space="preserve"> y base de datos; invariante 9</w:t>
            </w:r>
          </w:p>
        </w:tc>
      </w:tr>
      <w:tr>
        <w:trPr>
          <w:cantSplit/>
        </w:trPr>
        <w:tc>
          <w:tcPr>
            <w:tcW w:type="dxa" w:w="521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Reglas por perfil dentro de la base</w:t>
            </w:r>
          </w:p>
        </w:tc>
        <w:tc>
          <w:tcPr>
            <w:tcW w:type="dxa" w:w="475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 xml:space="preserve">Migración 0022;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test:db</w:t>
            </w:r>
            <w:r>
              <w:rPr>
                <w:sz w:val="18"/>
              </w:rPr>
              <w:t xml:space="preserve"> en 0 fallas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sz w:val="18"/>
              </w:rPr>
              <w:t>Sesión obligatoria para el asistente publicado y política de contenido (CSP)</w:t>
            </w:r>
          </w:p>
        </w:tc>
        <w:tc>
          <w:tcPr>
            <w:tcW w:type="dxa" w:w="475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server/session.ts</w:t>
            </w:r>
            <w:r>
              <w:rPr>
                <w:sz w:val="18"/>
              </w:rPr>
              <w:t>; configuración de publicación</w:t>
            </w:r>
          </w:p>
        </w:tc>
      </w:tr>
      <w:tr>
        <w:trPr>
          <w:cantSplit/>
        </w:trPr>
        <w:tc>
          <w:tcPr>
            <w:tcW w:type="dxa" w:w="521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Cambios de presupuesto y de clave registrados por funciones de la base</w:t>
            </w:r>
          </w:p>
        </w:tc>
        <w:tc>
          <w:tcPr>
            <w:tcW w:type="dxa" w:w="475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Migraciones 0031 y 0032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sz w:val="18"/>
              </w:rPr>
              <w:t>Cada empresa con su propia clave de OpenAI, cifrada</w:t>
            </w:r>
          </w:p>
        </w:tc>
        <w:tc>
          <w:tcPr>
            <w:tcW w:type="dxa" w:w="4757"/>
            <w:vAlign w:val="top"/>
          </w:tcPr>
          <w:p>
            <w:pPr>
              <w:spacing w:after="0"/>
            </w:pPr>
            <w:r>
              <w:rPr>
                <w:sz w:val="18"/>
              </w:rPr>
              <w:t>Migración 0032 (Vault)</w:t>
            </w:r>
          </w:p>
        </w:tc>
      </w:tr>
      <w:tr>
        <w:trPr>
          <w:cantSplit/>
        </w:trPr>
        <w:tc>
          <w:tcPr>
            <w:tcW w:type="dxa" w:w="521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Pruebas de mutación a mano para las pruebas de seguridad</w:t>
            </w:r>
          </w:p>
        </w:tc>
        <w:tc>
          <w:tcPr>
            <w:tcW w:type="dxa" w:w="475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test:ai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sz w:val="18"/>
              </w:rPr>
              <w:t>Escanear claves y datos reales antes de publicar, también en el historial</w:t>
            </w:r>
          </w:p>
        </w:tc>
        <w:tc>
          <w:tcPr>
            <w:tcW w:type="dxa" w:w="4757"/>
            <w:vAlign w:val="top"/>
          </w:tcPr>
          <w:p>
            <w:pPr>
              <w:spacing w:after="0"/>
            </w:pPr>
            <w:r>
              <w:rPr>
                <w:sz w:val="18"/>
              </w:rPr>
              <w:t>Checklist «Antes de publicar» (REV-05)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Iteración 5: retrospectiva de cierre (a completar el 06-10-2026)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322"/>
        <w:gridCol w:w="3322"/>
        <w:gridCol w:w="3327"/>
      </w:tblGrid>
      <w:tr>
        <w:trPr>
          <w:cantSplit/>
          <w:tblHeader/>
        </w:trPr>
        <w:tc>
          <w:tcPr>
            <w:tcW w:type="dxa" w:w="332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¿Qué salió bien?</w:t>
            </w:r>
          </w:p>
        </w:tc>
        <w:tc>
          <w:tcPr>
            <w:tcW w:type="dxa" w:w="332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¿Qué no salió bien?</w:t>
            </w:r>
          </w:p>
        </w:tc>
        <w:tc>
          <w:tcPr>
            <w:tcW w:type="dxa" w:w="332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¿Qué cambiaremos?</w:t>
            </w:r>
          </w:p>
        </w:tc>
      </w:tr>
      <w:tr>
        <w:trPr>
          <w:cantSplit/>
        </w:trPr>
        <w:tc>
          <w:tcPr>
            <w:tcW w:type="dxa" w:w="3322"/>
            <w:vAlign w:val="top"/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3322"/>
            <w:vAlign w:val="top"/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3328"/>
            <w:vAlign w:val="top"/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REV-06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Retrospectivas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REV-06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