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52ED5" w14:textId="728D7D97" w:rsidR="00250652" w:rsidRPr="00250652" w:rsidRDefault="00250652" w:rsidP="00250652">
      <w:pPr>
        <w:rPr>
          <w:rFonts w:ascii="Arial" w:hAnsi="Arial" w:cs="Arial"/>
          <w:sz w:val="20"/>
          <w:szCs w:val="20"/>
        </w:rPr>
      </w:pPr>
    </w:p>
    <w:tbl>
      <w:tblPr>
        <w:tblStyle w:val="TableGrid"/>
        <w:tblW w:w="0" w:type="auto"/>
        <w:tblLook w:val="04A0" w:firstRow="1" w:lastRow="0" w:firstColumn="1" w:lastColumn="0" w:noHBand="0" w:noVBand="1"/>
      </w:tblPr>
      <w:tblGrid>
        <w:gridCol w:w="1795"/>
        <w:gridCol w:w="6699"/>
      </w:tblGrid>
      <w:tr w:rsidR="00EC4015" w:rsidRPr="00250652" w14:paraId="41AFF34B" w14:textId="77777777" w:rsidTr="005C7FBC">
        <w:tc>
          <w:tcPr>
            <w:tcW w:w="8494" w:type="dxa"/>
            <w:gridSpan w:val="2"/>
          </w:tcPr>
          <w:p w14:paraId="66721581" w14:textId="6E24F08A" w:rsidR="00EC4015" w:rsidRPr="00250652" w:rsidRDefault="00EC4015" w:rsidP="00250652">
            <w:pPr>
              <w:rPr>
                <w:rFonts w:ascii="Arial" w:hAnsi="Arial" w:cs="Arial"/>
                <w:b/>
                <w:bCs/>
                <w:sz w:val="20"/>
                <w:szCs w:val="20"/>
              </w:rPr>
            </w:pPr>
            <w:r w:rsidRPr="00250652">
              <w:rPr>
                <w:rFonts w:ascii="Arial" w:hAnsi="Arial" w:cs="Arial"/>
                <w:sz w:val="20"/>
                <w:szCs w:val="20"/>
                <w:shd w:val="clear" w:color="auto" w:fill="000000" w:themeFill="text1"/>
              </w:rPr>
              <w:t>REGRESIÓN LINEAL 1</w:t>
            </w:r>
          </w:p>
        </w:tc>
      </w:tr>
      <w:tr w:rsidR="00250652" w:rsidRPr="00250652" w14:paraId="7754C3EF" w14:textId="77777777" w:rsidTr="00250652">
        <w:tc>
          <w:tcPr>
            <w:tcW w:w="1795" w:type="dxa"/>
          </w:tcPr>
          <w:p w14:paraId="65EE531F" w14:textId="54E2BD85" w:rsidR="00250652" w:rsidRDefault="00250652" w:rsidP="00250652">
            <w:pPr>
              <w:rPr>
                <w:rFonts w:ascii="Arial" w:hAnsi="Arial" w:cs="Arial"/>
                <w:sz w:val="20"/>
                <w:szCs w:val="20"/>
                <w:lang w:val="en-US"/>
              </w:rPr>
            </w:pPr>
            <w:r>
              <w:rPr>
                <w:rFonts w:ascii="Arial" w:hAnsi="Arial" w:cs="Arial"/>
                <w:sz w:val="20"/>
                <w:szCs w:val="20"/>
                <w:lang w:val="en-US"/>
              </w:rPr>
              <w:t>Variable ind.</w:t>
            </w:r>
          </w:p>
        </w:tc>
        <w:tc>
          <w:tcPr>
            <w:tcW w:w="6699" w:type="dxa"/>
          </w:tcPr>
          <w:p w14:paraId="02F7CBDE" w14:textId="0A95FE87" w:rsidR="00250652" w:rsidRPr="00250652" w:rsidRDefault="00250652" w:rsidP="00250652">
            <w:pPr>
              <w:rPr>
                <w:rFonts w:ascii="Arial" w:hAnsi="Arial" w:cs="Arial"/>
                <w:sz w:val="20"/>
                <w:szCs w:val="20"/>
              </w:rPr>
            </w:pPr>
            <w:r w:rsidRPr="00250652">
              <w:rPr>
                <w:rFonts w:ascii="Arial" w:hAnsi="Arial" w:cs="Arial"/>
                <w:b/>
                <w:bCs/>
                <w:sz w:val="20"/>
                <w:szCs w:val="20"/>
              </w:rPr>
              <w:t>Autoubicación ideológica</w:t>
            </w:r>
            <w:r>
              <w:rPr>
                <w:rFonts w:ascii="Arial" w:hAnsi="Arial" w:cs="Arial"/>
                <w:sz w:val="20"/>
                <w:szCs w:val="20"/>
              </w:rPr>
              <w:t xml:space="preserve"> – ID101 </w:t>
            </w:r>
            <w:r>
              <w:rPr>
                <w:rFonts w:ascii="Arial" w:hAnsi="Arial" w:cs="Arial"/>
                <w:sz w:val="20"/>
                <w:szCs w:val="20"/>
              </w:rPr>
              <w:t xml:space="preserve">(en una escala de </w:t>
            </w:r>
            <w:r>
              <w:rPr>
                <w:rFonts w:ascii="Arial" w:hAnsi="Arial" w:cs="Arial"/>
                <w:sz w:val="20"/>
                <w:szCs w:val="20"/>
              </w:rPr>
              <w:t>1</w:t>
            </w:r>
            <w:r>
              <w:rPr>
                <w:rFonts w:ascii="Arial" w:hAnsi="Arial" w:cs="Arial"/>
                <w:sz w:val="20"/>
                <w:szCs w:val="20"/>
              </w:rPr>
              <w:t xml:space="preserve">, </w:t>
            </w:r>
            <w:r>
              <w:rPr>
                <w:rFonts w:ascii="Arial" w:hAnsi="Arial" w:cs="Arial"/>
                <w:sz w:val="20"/>
                <w:szCs w:val="20"/>
              </w:rPr>
              <w:t>izquierda</w:t>
            </w:r>
            <w:r>
              <w:rPr>
                <w:rFonts w:ascii="Arial" w:hAnsi="Arial" w:cs="Arial"/>
                <w:sz w:val="20"/>
                <w:szCs w:val="20"/>
              </w:rPr>
              <w:t xml:space="preserve">, a 10, </w:t>
            </w:r>
            <w:r>
              <w:rPr>
                <w:rFonts w:ascii="Arial" w:hAnsi="Arial" w:cs="Arial"/>
                <w:sz w:val="20"/>
                <w:szCs w:val="20"/>
              </w:rPr>
              <w:t>derecha</w:t>
            </w:r>
            <w:r>
              <w:rPr>
                <w:rFonts w:ascii="Arial" w:hAnsi="Arial" w:cs="Arial"/>
                <w:sz w:val="20"/>
                <w:szCs w:val="20"/>
              </w:rPr>
              <w:t>)</w:t>
            </w:r>
          </w:p>
        </w:tc>
      </w:tr>
      <w:tr w:rsidR="00250652" w:rsidRPr="00250652" w14:paraId="00B1DA33" w14:textId="77777777" w:rsidTr="00250652">
        <w:tc>
          <w:tcPr>
            <w:tcW w:w="1795" w:type="dxa"/>
          </w:tcPr>
          <w:p w14:paraId="09EDA230" w14:textId="334D4193" w:rsidR="00250652" w:rsidRDefault="00250652" w:rsidP="00250652">
            <w:pPr>
              <w:rPr>
                <w:rFonts w:ascii="Arial" w:hAnsi="Arial" w:cs="Arial"/>
                <w:sz w:val="20"/>
                <w:szCs w:val="20"/>
                <w:lang w:val="en-US"/>
              </w:rPr>
            </w:pPr>
            <w:r>
              <w:rPr>
                <w:rFonts w:ascii="Arial" w:hAnsi="Arial" w:cs="Arial"/>
                <w:sz w:val="20"/>
                <w:szCs w:val="20"/>
                <w:lang w:val="en-US"/>
              </w:rPr>
              <w:t>Variable dep.</w:t>
            </w:r>
          </w:p>
        </w:tc>
        <w:tc>
          <w:tcPr>
            <w:tcW w:w="6699" w:type="dxa"/>
          </w:tcPr>
          <w:p w14:paraId="7C73C74D" w14:textId="5E699868" w:rsidR="00250652" w:rsidRPr="00250652" w:rsidRDefault="00250652" w:rsidP="00250652">
            <w:pPr>
              <w:rPr>
                <w:rFonts w:ascii="Arial" w:hAnsi="Arial" w:cs="Arial"/>
                <w:sz w:val="20"/>
                <w:szCs w:val="20"/>
              </w:rPr>
            </w:pPr>
            <w:r w:rsidRPr="00250652">
              <w:rPr>
                <w:rFonts w:ascii="Arial" w:hAnsi="Arial" w:cs="Arial"/>
                <w:b/>
                <w:bCs/>
                <w:sz w:val="20"/>
                <w:szCs w:val="20"/>
              </w:rPr>
              <w:t>Nivel de confianza en la mayoría de la gente</w:t>
            </w:r>
            <w:r>
              <w:rPr>
                <w:rFonts w:ascii="Arial" w:hAnsi="Arial" w:cs="Arial"/>
                <w:sz w:val="20"/>
                <w:szCs w:val="20"/>
              </w:rPr>
              <w:t xml:space="preserve"> – CONF101 (en una escala de 0, mínima confianza, a 10, máxima confianza)</w:t>
            </w:r>
          </w:p>
        </w:tc>
      </w:tr>
      <w:tr w:rsidR="004F3AE2" w:rsidRPr="004F3AE2" w14:paraId="5E939664" w14:textId="77777777" w:rsidTr="00250652">
        <w:tc>
          <w:tcPr>
            <w:tcW w:w="1795" w:type="dxa"/>
          </w:tcPr>
          <w:p w14:paraId="383080B7" w14:textId="44FE89B7" w:rsidR="004F3AE2" w:rsidRDefault="004F3AE2" w:rsidP="00250652">
            <w:pPr>
              <w:rPr>
                <w:rFonts w:ascii="Arial" w:hAnsi="Arial" w:cs="Arial"/>
                <w:sz w:val="20"/>
                <w:szCs w:val="20"/>
              </w:rPr>
            </w:pPr>
            <w:r>
              <w:rPr>
                <w:rFonts w:ascii="Arial" w:hAnsi="Arial" w:cs="Arial"/>
                <w:sz w:val="20"/>
                <w:szCs w:val="20"/>
              </w:rPr>
              <w:t>Recta</w:t>
            </w:r>
          </w:p>
        </w:tc>
        <w:tc>
          <w:tcPr>
            <w:tcW w:w="6699" w:type="dxa"/>
          </w:tcPr>
          <w:p w14:paraId="37C6BED4" w14:textId="2C60E7B9" w:rsidR="004F3AE2" w:rsidRPr="004F3AE2" w:rsidRDefault="004F3AE2" w:rsidP="00250652">
            <w:pPr>
              <w:rPr>
                <w:rFonts w:ascii="Arial" w:hAnsi="Arial" w:cs="Arial"/>
                <w:sz w:val="20"/>
                <w:szCs w:val="20"/>
                <w:lang w:val="en-US"/>
              </w:rPr>
            </w:pPr>
            <w:r>
              <w:rPr>
                <w:rFonts w:ascii="Arial" w:hAnsi="Arial" w:cs="Arial"/>
                <w:sz w:val="20"/>
                <w:szCs w:val="20"/>
              </w:rPr>
              <w:t xml:space="preserve">CONF101 </w:t>
            </w:r>
            <w:r>
              <w:rPr>
                <w:rFonts w:ascii="Arial" w:hAnsi="Arial" w:cs="Arial"/>
                <w:sz w:val="20"/>
                <w:szCs w:val="20"/>
                <w:lang w:val="en-US"/>
              </w:rPr>
              <w:t>= 7.41 – 0.2ID101</w:t>
            </w:r>
          </w:p>
        </w:tc>
      </w:tr>
      <w:tr w:rsidR="00250652" w:rsidRPr="004F3AE2" w14:paraId="51CE6A4F" w14:textId="77777777" w:rsidTr="00250652">
        <w:tc>
          <w:tcPr>
            <w:tcW w:w="1795" w:type="dxa"/>
          </w:tcPr>
          <w:p w14:paraId="420C8881" w14:textId="5251E961" w:rsidR="00250652" w:rsidRPr="00250652" w:rsidRDefault="00250652" w:rsidP="00250652">
            <w:pPr>
              <w:rPr>
                <w:rFonts w:ascii="Arial" w:hAnsi="Arial" w:cs="Arial"/>
                <w:sz w:val="20"/>
                <w:szCs w:val="20"/>
              </w:rPr>
            </w:pPr>
            <w:r>
              <w:rPr>
                <w:rFonts w:ascii="Arial" w:hAnsi="Arial" w:cs="Arial"/>
                <w:sz w:val="20"/>
                <w:szCs w:val="20"/>
              </w:rPr>
              <w:t>Elementos de la regresión</w:t>
            </w:r>
            <w:r w:rsidR="001E6DED">
              <w:rPr>
                <w:rFonts w:ascii="Arial" w:hAnsi="Arial" w:cs="Arial"/>
                <w:sz w:val="20"/>
                <w:szCs w:val="20"/>
              </w:rPr>
              <w:t xml:space="preserve"> y su análisis.</w:t>
            </w:r>
          </w:p>
        </w:tc>
        <w:tc>
          <w:tcPr>
            <w:tcW w:w="6699" w:type="dxa"/>
          </w:tcPr>
          <w:p w14:paraId="1C2F99FE" w14:textId="77777777" w:rsidR="00250652" w:rsidRDefault="00250652" w:rsidP="00250652">
            <w:pPr>
              <w:rPr>
                <w:rFonts w:ascii="Arial" w:hAnsi="Arial" w:cs="Arial"/>
                <w:sz w:val="20"/>
                <w:szCs w:val="20"/>
              </w:rPr>
            </w:pPr>
            <w:r>
              <w:rPr>
                <w:rFonts w:ascii="Arial" w:hAnsi="Arial" w:cs="Arial"/>
                <w:sz w:val="20"/>
                <w:szCs w:val="20"/>
              </w:rPr>
              <w:t>Coeficientes:</w:t>
            </w:r>
          </w:p>
          <w:p w14:paraId="73B25179" w14:textId="6C8FCF8C" w:rsidR="00250652" w:rsidRDefault="00250652" w:rsidP="00250652">
            <w:pPr>
              <w:pStyle w:val="ListParagraph"/>
              <w:numPr>
                <w:ilvl w:val="0"/>
                <w:numId w:val="1"/>
              </w:numPr>
              <w:rPr>
                <w:rFonts w:ascii="Arial" w:hAnsi="Arial" w:cs="Arial"/>
                <w:sz w:val="20"/>
                <w:szCs w:val="20"/>
              </w:rPr>
            </w:pPr>
            <w:r>
              <w:rPr>
                <w:rFonts w:ascii="Arial" w:hAnsi="Arial" w:cs="Arial"/>
                <w:sz w:val="20"/>
                <w:szCs w:val="20"/>
              </w:rPr>
              <w:t>Constante:</w:t>
            </w:r>
            <w:r w:rsidR="001E6DED">
              <w:rPr>
                <w:rFonts w:ascii="Arial" w:hAnsi="Arial" w:cs="Arial"/>
                <w:sz w:val="20"/>
                <w:szCs w:val="20"/>
              </w:rPr>
              <w:t xml:space="preserve"> 7.41</w:t>
            </w:r>
          </w:p>
          <w:p w14:paraId="5BF8926D" w14:textId="09D849CD" w:rsidR="001E6DED" w:rsidRPr="001E6DED" w:rsidRDefault="001E6DED" w:rsidP="001E6DED">
            <w:pPr>
              <w:pStyle w:val="ListParagraph"/>
              <w:rPr>
                <w:rFonts w:ascii="Arial" w:hAnsi="Arial" w:cs="Arial"/>
                <w:i/>
                <w:iCs/>
                <w:sz w:val="20"/>
                <w:szCs w:val="20"/>
              </w:rPr>
            </w:pPr>
            <w:r>
              <w:rPr>
                <w:rFonts w:ascii="Arial" w:hAnsi="Arial" w:cs="Arial"/>
                <w:i/>
                <w:iCs/>
                <w:sz w:val="20"/>
                <w:szCs w:val="20"/>
              </w:rPr>
              <w:t>Significa que cuando la autoubicación ideológica esta más a la izquierda, el valor inicial de confianza en una escala de 0 a 10 es de 7.41</w:t>
            </w:r>
          </w:p>
          <w:p w14:paraId="0E67833B" w14:textId="776654BF" w:rsidR="001E6DED" w:rsidRDefault="001E6DED" w:rsidP="00250652">
            <w:pPr>
              <w:pStyle w:val="ListParagraph"/>
              <w:numPr>
                <w:ilvl w:val="0"/>
                <w:numId w:val="1"/>
              </w:numPr>
              <w:rPr>
                <w:rFonts w:ascii="Arial" w:hAnsi="Arial" w:cs="Arial"/>
                <w:sz w:val="20"/>
                <w:szCs w:val="20"/>
              </w:rPr>
            </w:pPr>
            <w:r>
              <w:rPr>
                <w:rFonts w:ascii="Arial" w:hAnsi="Arial" w:cs="Arial"/>
                <w:sz w:val="20"/>
                <w:szCs w:val="20"/>
              </w:rPr>
              <w:t>ID101: -0.20</w:t>
            </w:r>
          </w:p>
          <w:p w14:paraId="4BC049C0" w14:textId="5204B0B9" w:rsidR="001E6DED" w:rsidRPr="001E6DED" w:rsidRDefault="001E6DED" w:rsidP="001E6DED">
            <w:pPr>
              <w:pStyle w:val="ListParagraph"/>
              <w:rPr>
                <w:rFonts w:ascii="Arial" w:hAnsi="Arial" w:cs="Arial"/>
                <w:i/>
                <w:iCs/>
                <w:sz w:val="20"/>
                <w:szCs w:val="20"/>
              </w:rPr>
            </w:pPr>
            <w:r>
              <w:rPr>
                <w:rFonts w:ascii="Arial" w:hAnsi="Arial" w:cs="Arial"/>
                <w:i/>
                <w:iCs/>
                <w:sz w:val="20"/>
                <w:szCs w:val="20"/>
              </w:rPr>
              <w:t xml:space="preserve">Significa que </w:t>
            </w:r>
            <w:r w:rsidR="004F3AE2">
              <w:rPr>
                <w:rFonts w:ascii="Arial" w:hAnsi="Arial" w:cs="Arial"/>
                <w:i/>
                <w:iCs/>
                <w:sz w:val="20"/>
                <w:szCs w:val="20"/>
              </w:rPr>
              <w:t>cuando la autoubicación ideológica se acerca un punto más a la derecha, la confianza disminuye 0.2 puntos en la escala</w:t>
            </w:r>
          </w:p>
          <w:p w14:paraId="1AB47229" w14:textId="77777777" w:rsidR="001E6DED" w:rsidRDefault="001E6DED" w:rsidP="001E6DED">
            <w:pPr>
              <w:rPr>
                <w:rFonts w:ascii="Arial" w:hAnsi="Arial" w:cs="Arial"/>
                <w:sz w:val="20"/>
                <w:szCs w:val="20"/>
              </w:rPr>
            </w:pPr>
          </w:p>
          <w:p w14:paraId="443CFF83" w14:textId="75A6EBBF" w:rsidR="001E6DED" w:rsidRDefault="001E6DED" w:rsidP="001E6DED">
            <w:pPr>
              <w:rPr>
                <w:rFonts w:ascii="Arial" w:hAnsi="Arial" w:cs="Arial"/>
                <w:sz w:val="20"/>
                <w:szCs w:val="20"/>
              </w:rPr>
            </w:pPr>
            <w:r>
              <w:rPr>
                <w:rFonts w:ascii="Arial" w:hAnsi="Arial" w:cs="Arial"/>
                <w:sz w:val="20"/>
                <w:szCs w:val="20"/>
              </w:rPr>
              <w:t>R2: 0.049</w:t>
            </w:r>
          </w:p>
          <w:p w14:paraId="2BCBC30E" w14:textId="01A4FB7B" w:rsidR="004F3AE2" w:rsidRPr="004F3AE2" w:rsidRDefault="004F3AE2" w:rsidP="001E6DED">
            <w:pPr>
              <w:rPr>
                <w:rFonts w:ascii="Arial" w:hAnsi="Arial" w:cs="Arial"/>
                <w:i/>
                <w:iCs/>
                <w:sz w:val="20"/>
                <w:szCs w:val="20"/>
              </w:rPr>
            </w:pPr>
            <w:r>
              <w:rPr>
                <w:rFonts w:ascii="Arial" w:hAnsi="Arial" w:cs="Arial"/>
                <w:i/>
                <w:iCs/>
                <w:sz w:val="20"/>
                <w:szCs w:val="20"/>
              </w:rPr>
              <w:t>Significa que sólo un 4.9% de la varianza de la confianza se explica por la ubicación ideológica, es decir que ésta última no es un buen predictor de la primera y que hay otros factores intervinientes (efecto explicativo débil).</w:t>
            </w:r>
          </w:p>
          <w:p w14:paraId="22288D85" w14:textId="77777777" w:rsidR="001E6DED" w:rsidRDefault="001E6DED" w:rsidP="001E6DED">
            <w:pPr>
              <w:rPr>
                <w:rFonts w:ascii="Arial" w:hAnsi="Arial" w:cs="Arial"/>
                <w:sz w:val="20"/>
                <w:szCs w:val="20"/>
              </w:rPr>
            </w:pPr>
          </w:p>
          <w:p w14:paraId="27A12833" w14:textId="2F4C9B5D" w:rsidR="001E6DED" w:rsidRDefault="001E6DED" w:rsidP="001E6DED">
            <w:pPr>
              <w:rPr>
                <w:rFonts w:ascii="Arial" w:hAnsi="Arial" w:cs="Arial"/>
                <w:sz w:val="20"/>
                <w:szCs w:val="20"/>
              </w:rPr>
            </w:pPr>
            <w:r>
              <w:rPr>
                <w:rFonts w:ascii="Arial" w:hAnsi="Arial" w:cs="Arial"/>
                <w:sz w:val="20"/>
                <w:szCs w:val="20"/>
              </w:rPr>
              <w:t>Nivel de significatividad: 5.607</w:t>
            </w:r>
          </w:p>
          <w:p w14:paraId="2C2F74C7" w14:textId="43E49847" w:rsidR="004F3AE2" w:rsidRPr="004F3AE2" w:rsidRDefault="004F3AE2" w:rsidP="001E6DED">
            <w:pPr>
              <w:rPr>
                <w:rFonts w:ascii="Arial" w:hAnsi="Arial" w:cs="Arial"/>
                <w:i/>
                <w:iCs/>
                <w:sz w:val="20"/>
                <w:szCs w:val="20"/>
              </w:rPr>
            </w:pPr>
            <w:r>
              <w:rPr>
                <w:rFonts w:ascii="Arial" w:hAnsi="Arial" w:cs="Arial"/>
                <w:i/>
                <w:iCs/>
                <w:sz w:val="20"/>
                <w:szCs w:val="20"/>
              </w:rPr>
              <w:t xml:space="preserve">Al ser varias veces mayor que 1, significa que la varianza explicada por el modelo es mayor a la no explicada </w:t>
            </w:r>
          </w:p>
          <w:p w14:paraId="43369036" w14:textId="0D0F1BEA" w:rsidR="001E6DED" w:rsidRDefault="001E6DED" w:rsidP="001E6DED">
            <w:pPr>
              <w:rPr>
                <w:rFonts w:ascii="Arial" w:hAnsi="Arial" w:cs="Arial"/>
                <w:sz w:val="20"/>
                <w:szCs w:val="20"/>
              </w:rPr>
            </w:pPr>
            <w:r>
              <w:rPr>
                <w:rFonts w:ascii="Arial" w:hAnsi="Arial" w:cs="Arial"/>
                <w:sz w:val="20"/>
                <w:szCs w:val="20"/>
              </w:rPr>
              <w:t>p-valor: 0.019</w:t>
            </w:r>
          </w:p>
          <w:p w14:paraId="7628DA76" w14:textId="079BDBA5" w:rsidR="004F3AE2" w:rsidRPr="004F3AE2" w:rsidRDefault="004F3AE2" w:rsidP="001E6DED">
            <w:pPr>
              <w:rPr>
                <w:rFonts w:ascii="Arial" w:hAnsi="Arial" w:cs="Arial"/>
                <w:i/>
                <w:iCs/>
                <w:sz w:val="20"/>
                <w:szCs w:val="20"/>
              </w:rPr>
            </w:pPr>
            <w:r>
              <w:rPr>
                <w:rFonts w:ascii="Arial" w:hAnsi="Arial" w:cs="Arial"/>
                <w:i/>
                <w:iCs/>
                <w:sz w:val="20"/>
                <w:szCs w:val="20"/>
              </w:rPr>
              <w:t>Al ser menor que 0.05, significa que es estadísticamente significativo</w:t>
            </w:r>
          </w:p>
          <w:p w14:paraId="152512BB" w14:textId="77777777" w:rsidR="001E6DED" w:rsidRDefault="001E6DED" w:rsidP="001E6DED">
            <w:pPr>
              <w:rPr>
                <w:rFonts w:ascii="Arial" w:hAnsi="Arial" w:cs="Arial"/>
                <w:sz w:val="20"/>
                <w:szCs w:val="20"/>
              </w:rPr>
            </w:pPr>
          </w:p>
          <w:p w14:paraId="6A024D7B" w14:textId="4A791C10" w:rsidR="001E6DED" w:rsidRDefault="001E6DED" w:rsidP="001E6DED">
            <w:pPr>
              <w:rPr>
                <w:rFonts w:ascii="Arial" w:hAnsi="Arial" w:cs="Arial"/>
                <w:sz w:val="20"/>
                <w:szCs w:val="20"/>
              </w:rPr>
            </w:pPr>
            <w:r w:rsidRPr="004F3AE2">
              <w:rPr>
                <w:rFonts w:ascii="Arial" w:hAnsi="Arial" w:cs="Arial"/>
                <w:sz w:val="20"/>
                <w:szCs w:val="20"/>
              </w:rPr>
              <w:t>t de student de ID101: -2.368</w:t>
            </w:r>
          </w:p>
          <w:p w14:paraId="75C1B808" w14:textId="758EAD8D" w:rsidR="000A61A0" w:rsidRPr="000A61A0" w:rsidRDefault="000A61A0" w:rsidP="001E6DED">
            <w:pPr>
              <w:rPr>
                <w:rFonts w:ascii="Arial" w:hAnsi="Arial" w:cs="Arial"/>
                <w:i/>
                <w:iCs/>
                <w:sz w:val="20"/>
                <w:szCs w:val="20"/>
              </w:rPr>
            </w:pPr>
            <w:r>
              <w:rPr>
                <w:rFonts w:ascii="Arial" w:hAnsi="Arial" w:cs="Arial"/>
                <w:i/>
                <w:iCs/>
                <w:sz w:val="20"/>
                <w:szCs w:val="20"/>
              </w:rPr>
              <w:t xml:space="preserve">Al ser mayor que 2, </w:t>
            </w:r>
            <w:r w:rsidR="00043CC3">
              <w:rPr>
                <w:rFonts w:ascii="Arial" w:hAnsi="Arial" w:cs="Arial"/>
                <w:i/>
                <w:iCs/>
                <w:sz w:val="20"/>
                <w:szCs w:val="20"/>
              </w:rPr>
              <w:t>indica que el impacto de la variable independiente es relevante sobre la variable dependiente.</w:t>
            </w:r>
          </w:p>
          <w:p w14:paraId="75DD9C9F" w14:textId="44581A1E" w:rsidR="00250652" w:rsidRPr="004F3AE2" w:rsidRDefault="00250652" w:rsidP="00250652">
            <w:pPr>
              <w:rPr>
                <w:rFonts w:ascii="Arial" w:hAnsi="Arial" w:cs="Arial"/>
                <w:sz w:val="20"/>
                <w:szCs w:val="20"/>
              </w:rPr>
            </w:pPr>
          </w:p>
        </w:tc>
      </w:tr>
      <w:tr w:rsidR="00250652" w:rsidRPr="000A61A0" w14:paraId="7329FCC1" w14:textId="77777777" w:rsidTr="00250652">
        <w:tc>
          <w:tcPr>
            <w:tcW w:w="1795" w:type="dxa"/>
          </w:tcPr>
          <w:p w14:paraId="76D13DED" w14:textId="37C83E09" w:rsidR="00250652" w:rsidRPr="001E6DED" w:rsidRDefault="001E6DED" w:rsidP="00250652">
            <w:pPr>
              <w:rPr>
                <w:rFonts w:ascii="Arial" w:hAnsi="Arial" w:cs="Arial"/>
                <w:sz w:val="20"/>
                <w:szCs w:val="20"/>
                <w:lang w:val="en-US"/>
              </w:rPr>
            </w:pPr>
            <w:r>
              <w:rPr>
                <w:rFonts w:ascii="Arial" w:hAnsi="Arial" w:cs="Arial"/>
                <w:sz w:val="20"/>
                <w:szCs w:val="20"/>
                <w:lang w:val="en-US"/>
              </w:rPr>
              <w:t>Conclusiones</w:t>
            </w:r>
          </w:p>
        </w:tc>
        <w:tc>
          <w:tcPr>
            <w:tcW w:w="6699" w:type="dxa"/>
          </w:tcPr>
          <w:p w14:paraId="54419625" w14:textId="72F192B1" w:rsidR="00250652" w:rsidRPr="000A61A0" w:rsidRDefault="000A61A0" w:rsidP="00250652">
            <w:pPr>
              <w:rPr>
                <w:rFonts w:ascii="Arial" w:hAnsi="Arial" w:cs="Arial"/>
                <w:sz w:val="20"/>
                <w:szCs w:val="20"/>
              </w:rPr>
            </w:pPr>
            <w:r w:rsidRPr="000A61A0">
              <w:rPr>
                <w:rFonts w:ascii="Arial" w:hAnsi="Arial" w:cs="Arial"/>
                <w:sz w:val="20"/>
                <w:szCs w:val="20"/>
              </w:rPr>
              <w:t xml:space="preserve">En nuestro modelo, </w:t>
            </w:r>
            <w:r w:rsidRPr="000A61A0">
              <w:rPr>
                <w:rFonts w:ascii="Arial" w:hAnsi="Arial" w:cs="Arial"/>
                <w:b/>
                <w:bCs/>
                <w:sz w:val="20"/>
                <w:szCs w:val="20"/>
              </w:rPr>
              <w:t>cu</w:t>
            </w:r>
            <w:r>
              <w:rPr>
                <w:rFonts w:ascii="Arial" w:hAnsi="Arial" w:cs="Arial"/>
                <w:b/>
                <w:bCs/>
                <w:sz w:val="20"/>
                <w:szCs w:val="20"/>
              </w:rPr>
              <w:t>ánto más a la derecha se</w:t>
            </w:r>
            <w:r w:rsidR="00043CC3">
              <w:rPr>
                <w:rFonts w:ascii="Arial" w:hAnsi="Arial" w:cs="Arial"/>
                <w:b/>
                <w:bCs/>
                <w:sz w:val="20"/>
                <w:szCs w:val="20"/>
              </w:rPr>
              <w:t xml:space="preserve"> ubica una persona en una escala ideológica</w:t>
            </w:r>
            <w:r>
              <w:rPr>
                <w:rFonts w:ascii="Arial" w:hAnsi="Arial" w:cs="Arial"/>
                <w:b/>
                <w:bCs/>
                <w:sz w:val="20"/>
                <w:szCs w:val="20"/>
              </w:rPr>
              <w:t xml:space="preserve"> </w:t>
            </w:r>
            <w:r w:rsidR="008B7306">
              <w:rPr>
                <w:rFonts w:ascii="Arial" w:hAnsi="Arial" w:cs="Arial"/>
                <w:b/>
                <w:bCs/>
                <w:sz w:val="20"/>
                <w:szCs w:val="20"/>
              </w:rPr>
              <w:t>cae en una proporción pequeña su</w:t>
            </w:r>
            <w:r>
              <w:rPr>
                <w:rFonts w:ascii="Arial" w:hAnsi="Arial" w:cs="Arial"/>
                <w:b/>
                <w:bCs/>
                <w:sz w:val="20"/>
                <w:szCs w:val="20"/>
              </w:rPr>
              <w:t xml:space="preserve"> conf</w:t>
            </w:r>
            <w:r w:rsidR="008B7306">
              <w:rPr>
                <w:rFonts w:ascii="Arial" w:hAnsi="Arial" w:cs="Arial"/>
                <w:b/>
                <w:bCs/>
                <w:sz w:val="20"/>
                <w:szCs w:val="20"/>
              </w:rPr>
              <w:t>ianza</w:t>
            </w:r>
            <w:r>
              <w:rPr>
                <w:rFonts w:ascii="Arial" w:hAnsi="Arial" w:cs="Arial"/>
                <w:b/>
                <w:bCs/>
                <w:sz w:val="20"/>
                <w:szCs w:val="20"/>
              </w:rPr>
              <w:t xml:space="preserve"> en la mayoría de la gente.</w:t>
            </w:r>
            <w:r w:rsidR="00043CC3">
              <w:rPr>
                <w:rFonts w:ascii="Arial" w:hAnsi="Arial" w:cs="Arial"/>
                <w:b/>
                <w:bCs/>
                <w:sz w:val="20"/>
                <w:szCs w:val="20"/>
              </w:rPr>
              <w:t xml:space="preserve"> </w:t>
            </w:r>
            <w:r w:rsidR="00043CC3">
              <w:rPr>
                <w:rFonts w:ascii="Arial" w:hAnsi="Arial" w:cs="Arial"/>
                <w:sz w:val="20"/>
                <w:szCs w:val="20"/>
              </w:rPr>
              <w:t xml:space="preserve">La variabilidad es pequeña (coef ID101), pero estadísticamente significativa. Finalmente, el bajo R2 indica que la autoubicación ideológica no es un buen predictor del nivel de confianza en la mayoría de la gente, es decir, el modelo no tiene un valor explicativo alto. </w:t>
            </w:r>
          </w:p>
        </w:tc>
      </w:tr>
    </w:tbl>
    <w:p w14:paraId="298BE427" w14:textId="6CC307D5" w:rsidR="00250652" w:rsidRDefault="00250652" w:rsidP="00250652">
      <w:pPr>
        <w:rPr>
          <w:rFonts w:ascii="Arial" w:hAnsi="Arial" w:cs="Arial"/>
          <w:sz w:val="20"/>
          <w:szCs w:val="20"/>
        </w:rPr>
      </w:pPr>
    </w:p>
    <w:tbl>
      <w:tblPr>
        <w:tblStyle w:val="TableGrid"/>
        <w:tblW w:w="0" w:type="auto"/>
        <w:tblLook w:val="04A0" w:firstRow="1" w:lastRow="0" w:firstColumn="1" w:lastColumn="0" w:noHBand="0" w:noVBand="1"/>
      </w:tblPr>
      <w:tblGrid>
        <w:gridCol w:w="1795"/>
        <w:gridCol w:w="6699"/>
      </w:tblGrid>
      <w:tr w:rsidR="00EC4015" w:rsidRPr="00250652" w14:paraId="654B0E06" w14:textId="77777777" w:rsidTr="007D540A">
        <w:tc>
          <w:tcPr>
            <w:tcW w:w="8494" w:type="dxa"/>
            <w:gridSpan w:val="2"/>
          </w:tcPr>
          <w:p w14:paraId="1CC8FAD2" w14:textId="0F5D5DBF" w:rsidR="00EC4015" w:rsidRPr="008B7306" w:rsidRDefault="00EC4015" w:rsidP="00EC4015">
            <w:pPr>
              <w:rPr>
                <w:rFonts w:ascii="Arial" w:hAnsi="Arial" w:cs="Arial"/>
                <w:b/>
                <w:bCs/>
                <w:sz w:val="20"/>
                <w:szCs w:val="20"/>
                <w:lang w:val="en-US"/>
              </w:rPr>
            </w:pPr>
            <w:r w:rsidRPr="00250652">
              <w:rPr>
                <w:rFonts w:ascii="Arial" w:hAnsi="Arial" w:cs="Arial"/>
                <w:sz w:val="20"/>
                <w:szCs w:val="20"/>
                <w:shd w:val="clear" w:color="auto" w:fill="000000" w:themeFill="text1"/>
              </w:rPr>
              <w:t xml:space="preserve">REGRESIÓN LINEAL </w:t>
            </w:r>
            <w:r>
              <w:rPr>
                <w:rFonts w:ascii="Arial" w:hAnsi="Arial" w:cs="Arial"/>
                <w:sz w:val="20"/>
                <w:szCs w:val="20"/>
                <w:shd w:val="clear" w:color="auto" w:fill="000000" w:themeFill="text1"/>
              </w:rPr>
              <w:t>2</w:t>
            </w:r>
          </w:p>
        </w:tc>
      </w:tr>
      <w:tr w:rsidR="00EC4015" w:rsidRPr="00250652" w14:paraId="26BBAF55" w14:textId="77777777" w:rsidTr="0028007C">
        <w:tc>
          <w:tcPr>
            <w:tcW w:w="1795" w:type="dxa"/>
          </w:tcPr>
          <w:p w14:paraId="3E56B8B5" w14:textId="77777777" w:rsidR="00EC4015" w:rsidRDefault="00EC4015" w:rsidP="00EC4015">
            <w:pPr>
              <w:rPr>
                <w:rFonts w:ascii="Arial" w:hAnsi="Arial" w:cs="Arial"/>
                <w:sz w:val="20"/>
                <w:szCs w:val="20"/>
                <w:lang w:val="en-US"/>
              </w:rPr>
            </w:pPr>
            <w:r>
              <w:rPr>
                <w:rFonts w:ascii="Arial" w:hAnsi="Arial" w:cs="Arial"/>
                <w:sz w:val="20"/>
                <w:szCs w:val="20"/>
                <w:lang w:val="en-US"/>
              </w:rPr>
              <w:t>Variable ind.</w:t>
            </w:r>
          </w:p>
        </w:tc>
        <w:tc>
          <w:tcPr>
            <w:tcW w:w="6699" w:type="dxa"/>
          </w:tcPr>
          <w:p w14:paraId="1FF8CC20" w14:textId="0EF8FD76" w:rsidR="00EC4015" w:rsidRPr="00250652" w:rsidRDefault="008B7306" w:rsidP="00EC4015">
            <w:pPr>
              <w:rPr>
                <w:rFonts w:ascii="Arial" w:hAnsi="Arial" w:cs="Arial"/>
                <w:sz w:val="20"/>
                <w:szCs w:val="20"/>
              </w:rPr>
            </w:pPr>
            <w:r>
              <w:rPr>
                <w:rFonts w:ascii="Arial" w:hAnsi="Arial" w:cs="Arial"/>
                <w:b/>
                <w:bCs/>
                <w:sz w:val="20"/>
                <w:szCs w:val="20"/>
              </w:rPr>
              <w:t>Nivel de acuerdo con que el sector público debe proveer servicios de salud antes que el privado</w:t>
            </w:r>
            <w:r w:rsidR="00EC4015">
              <w:rPr>
                <w:rFonts w:ascii="Arial" w:hAnsi="Arial" w:cs="Arial"/>
                <w:sz w:val="20"/>
                <w:szCs w:val="20"/>
              </w:rPr>
              <w:t xml:space="preserve"> – </w:t>
            </w:r>
            <w:r>
              <w:rPr>
                <w:rFonts w:ascii="Arial" w:hAnsi="Arial" w:cs="Arial"/>
                <w:sz w:val="20"/>
                <w:szCs w:val="20"/>
              </w:rPr>
              <w:t>ROES101</w:t>
            </w:r>
            <w:r w:rsidR="00EC4015">
              <w:rPr>
                <w:rFonts w:ascii="Arial" w:hAnsi="Arial" w:cs="Arial"/>
                <w:sz w:val="20"/>
                <w:szCs w:val="20"/>
              </w:rPr>
              <w:t xml:space="preserve"> (en una escala de 1, </w:t>
            </w:r>
            <w:r>
              <w:rPr>
                <w:rFonts w:ascii="Arial" w:hAnsi="Arial" w:cs="Arial"/>
                <w:sz w:val="20"/>
                <w:szCs w:val="20"/>
              </w:rPr>
              <w:t>máximo desacuerdo</w:t>
            </w:r>
            <w:r w:rsidR="00EC4015">
              <w:rPr>
                <w:rFonts w:ascii="Arial" w:hAnsi="Arial" w:cs="Arial"/>
                <w:sz w:val="20"/>
                <w:szCs w:val="20"/>
              </w:rPr>
              <w:t xml:space="preserve">, a </w:t>
            </w:r>
            <w:r>
              <w:rPr>
                <w:rFonts w:ascii="Arial" w:hAnsi="Arial" w:cs="Arial"/>
                <w:sz w:val="20"/>
                <w:szCs w:val="20"/>
              </w:rPr>
              <w:t>7</w:t>
            </w:r>
            <w:r w:rsidR="00EC4015">
              <w:rPr>
                <w:rFonts w:ascii="Arial" w:hAnsi="Arial" w:cs="Arial"/>
                <w:sz w:val="20"/>
                <w:szCs w:val="20"/>
              </w:rPr>
              <w:t xml:space="preserve">, </w:t>
            </w:r>
            <w:r>
              <w:rPr>
                <w:rFonts w:ascii="Arial" w:hAnsi="Arial" w:cs="Arial"/>
                <w:sz w:val="20"/>
                <w:szCs w:val="20"/>
              </w:rPr>
              <w:t>máximo acuerdo</w:t>
            </w:r>
            <w:r w:rsidR="00EC4015">
              <w:rPr>
                <w:rFonts w:ascii="Arial" w:hAnsi="Arial" w:cs="Arial"/>
                <w:sz w:val="20"/>
                <w:szCs w:val="20"/>
              </w:rPr>
              <w:t>)</w:t>
            </w:r>
          </w:p>
        </w:tc>
      </w:tr>
      <w:tr w:rsidR="00EC4015" w:rsidRPr="00250652" w14:paraId="31EE29DB" w14:textId="77777777" w:rsidTr="0028007C">
        <w:tc>
          <w:tcPr>
            <w:tcW w:w="1795" w:type="dxa"/>
          </w:tcPr>
          <w:p w14:paraId="09422334" w14:textId="77777777" w:rsidR="00EC4015" w:rsidRDefault="00EC4015" w:rsidP="00EC4015">
            <w:pPr>
              <w:rPr>
                <w:rFonts w:ascii="Arial" w:hAnsi="Arial" w:cs="Arial"/>
                <w:sz w:val="20"/>
                <w:szCs w:val="20"/>
                <w:lang w:val="en-US"/>
              </w:rPr>
            </w:pPr>
            <w:r>
              <w:rPr>
                <w:rFonts w:ascii="Arial" w:hAnsi="Arial" w:cs="Arial"/>
                <w:sz w:val="20"/>
                <w:szCs w:val="20"/>
                <w:lang w:val="en-US"/>
              </w:rPr>
              <w:t>Variable dep.</w:t>
            </w:r>
          </w:p>
        </w:tc>
        <w:tc>
          <w:tcPr>
            <w:tcW w:w="6699" w:type="dxa"/>
          </w:tcPr>
          <w:p w14:paraId="494D34C4" w14:textId="778405FC" w:rsidR="00EC4015" w:rsidRPr="00250652" w:rsidRDefault="00A30D30" w:rsidP="00EC4015">
            <w:pPr>
              <w:rPr>
                <w:rFonts w:ascii="Arial" w:hAnsi="Arial" w:cs="Arial"/>
                <w:sz w:val="20"/>
                <w:szCs w:val="20"/>
              </w:rPr>
            </w:pPr>
            <w:r>
              <w:rPr>
                <w:rFonts w:ascii="Arial" w:hAnsi="Arial" w:cs="Arial"/>
                <w:b/>
                <w:bCs/>
                <w:sz w:val="20"/>
                <w:szCs w:val="20"/>
              </w:rPr>
              <w:t>Nivel de acuerdo con el aborto legal</w:t>
            </w:r>
            <w:r w:rsidR="00EC4015">
              <w:rPr>
                <w:rFonts w:ascii="Arial" w:hAnsi="Arial" w:cs="Arial"/>
                <w:sz w:val="20"/>
                <w:szCs w:val="20"/>
              </w:rPr>
              <w:t xml:space="preserve">– </w:t>
            </w:r>
            <w:r>
              <w:rPr>
                <w:rFonts w:ascii="Arial" w:hAnsi="Arial" w:cs="Arial"/>
                <w:sz w:val="20"/>
                <w:szCs w:val="20"/>
              </w:rPr>
              <w:t>VAL103</w:t>
            </w:r>
            <w:r w:rsidR="00EC4015">
              <w:rPr>
                <w:rFonts w:ascii="Arial" w:hAnsi="Arial" w:cs="Arial"/>
                <w:sz w:val="20"/>
                <w:szCs w:val="20"/>
              </w:rPr>
              <w:t xml:space="preserve"> (en una escala de </w:t>
            </w:r>
            <w:r>
              <w:rPr>
                <w:rFonts w:ascii="Arial" w:hAnsi="Arial" w:cs="Arial"/>
                <w:sz w:val="20"/>
                <w:szCs w:val="20"/>
              </w:rPr>
              <w:t>1</w:t>
            </w:r>
            <w:r w:rsidR="00EC4015">
              <w:rPr>
                <w:rFonts w:ascii="Arial" w:hAnsi="Arial" w:cs="Arial"/>
                <w:sz w:val="20"/>
                <w:szCs w:val="20"/>
              </w:rPr>
              <w:t xml:space="preserve">, </w:t>
            </w:r>
            <w:r>
              <w:rPr>
                <w:rFonts w:ascii="Arial" w:hAnsi="Arial" w:cs="Arial"/>
                <w:sz w:val="20"/>
                <w:szCs w:val="20"/>
              </w:rPr>
              <w:t>mínimo acuerdo</w:t>
            </w:r>
            <w:r w:rsidR="00EC4015">
              <w:rPr>
                <w:rFonts w:ascii="Arial" w:hAnsi="Arial" w:cs="Arial"/>
                <w:sz w:val="20"/>
                <w:szCs w:val="20"/>
              </w:rPr>
              <w:t>, a 10, máxim</w:t>
            </w:r>
            <w:r>
              <w:rPr>
                <w:rFonts w:ascii="Arial" w:hAnsi="Arial" w:cs="Arial"/>
                <w:sz w:val="20"/>
                <w:szCs w:val="20"/>
              </w:rPr>
              <w:t>o</w:t>
            </w:r>
            <w:r w:rsidR="00EC4015">
              <w:rPr>
                <w:rFonts w:ascii="Arial" w:hAnsi="Arial" w:cs="Arial"/>
                <w:sz w:val="20"/>
                <w:szCs w:val="20"/>
              </w:rPr>
              <w:t xml:space="preserve"> </w:t>
            </w:r>
            <w:r>
              <w:rPr>
                <w:rFonts w:ascii="Arial" w:hAnsi="Arial" w:cs="Arial"/>
                <w:sz w:val="20"/>
                <w:szCs w:val="20"/>
              </w:rPr>
              <w:t>acuerdo</w:t>
            </w:r>
            <w:r w:rsidR="00EC4015">
              <w:rPr>
                <w:rFonts w:ascii="Arial" w:hAnsi="Arial" w:cs="Arial"/>
                <w:sz w:val="20"/>
                <w:szCs w:val="20"/>
              </w:rPr>
              <w:t>)</w:t>
            </w:r>
          </w:p>
        </w:tc>
      </w:tr>
      <w:tr w:rsidR="00EC4015" w:rsidRPr="004F3AE2" w14:paraId="7E8EF77C" w14:textId="77777777" w:rsidTr="0028007C">
        <w:tc>
          <w:tcPr>
            <w:tcW w:w="1795" w:type="dxa"/>
          </w:tcPr>
          <w:p w14:paraId="18C88A8E" w14:textId="77777777" w:rsidR="00EC4015" w:rsidRDefault="00EC4015" w:rsidP="00EC4015">
            <w:pPr>
              <w:rPr>
                <w:rFonts w:ascii="Arial" w:hAnsi="Arial" w:cs="Arial"/>
                <w:sz w:val="20"/>
                <w:szCs w:val="20"/>
              </w:rPr>
            </w:pPr>
            <w:r>
              <w:rPr>
                <w:rFonts w:ascii="Arial" w:hAnsi="Arial" w:cs="Arial"/>
                <w:sz w:val="20"/>
                <w:szCs w:val="20"/>
              </w:rPr>
              <w:t>Recta</w:t>
            </w:r>
          </w:p>
        </w:tc>
        <w:tc>
          <w:tcPr>
            <w:tcW w:w="6699" w:type="dxa"/>
          </w:tcPr>
          <w:p w14:paraId="607834D0" w14:textId="562FB91C" w:rsidR="00EC4015" w:rsidRPr="004F3AE2" w:rsidRDefault="00A30D30" w:rsidP="00EC4015">
            <w:pPr>
              <w:rPr>
                <w:rFonts w:ascii="Arial" w:hAnsi="Arial" w:cs="Arial"/>
                <w:sz w:val="20"/>
                <w:szCs w:val="20"/>
                <w:lang w:val="en-US"/>
              </w:rPr>
            </w:pPr>
            <w:r>
              <w:rPr>
                <w:rFonts w:ascii="Arial" w:hAnsi="Arial" w:cs="Arial"/>
                <w:sz w:val="20"/>
                <w:szCs w:val="20"/>
              </w:rPr>
              <w:t>VAL103</w:t>
            </w:r>
            <w:r w:rsidR="00EC4015">
              <w:rPr>
                <w:rFonts w:ascii="Arial" w:hAnsi="Arial" w:cs="Arial"/>
                <w:sz w:val="20"/>
                <w:szCs w:val="20"/>
              </w:rPr>
              <w:t xml:space="preserve"> </w:t>
            </w:r>
            <w:r w:rsidR="00EC4015">
              <w:rPr>
                <w:rFonts w:ascii="Arial" w:hAnsi="Arial" w:cs="Arial"/>
                <w:sz w:val="20"/>
                <w:szCs w:val="20"/>
                <w:lang w:val="en-US"/>
              </w:rPr>
              <w:t xml:space="preserve">= </w:t>
            </w:r>
            <w:r>
              <w:rPr>
                <w:rFonts w:ascii="Arial" w:hAnsi="Arial" w:cs="Arial"/>
                <w:sz w:val="20"/>
                <w:szCs w:val="20"/>
                <w:lang w:val="en-US"/>
              </w:rPr>
              <w:t>6.25</w:t>
            </w:r>
            <w:r w:rsidR="00EC4015">
              <w:rPr>
                <w:rFonts w:ascii="Arial" w:hAnsi="Arial" w:cs="Arial"/>
                <w:sz w:val="20"/>
                <w:szCs w:val="20"/>
                <w:lang w:val="en-US"/>
              </w:rPr>
              <w:t xml:space="preserve"> </w:t>
            </w:r>
            <w:r>
              <w:rPr>
                <w:rFonts w:ascii="Arial" w:hAnsi="Arial" w:cs="Arial"/>
                <w:sz w:val="20"/>
                <w:szCs w:val="20"/>
                <w:lang w:val="en-US"/>
              </w:rPr>
              <w:t>+ 0.5ROES101</w:t>
            </w:r>
          </w:p>
        </w:tc>
      </w:tr>
      <w:tr w:rsidR="00EC4015" w:rsidRPr="004F3AE2" w14:paraId="14EE2FFA" w14:textId="77777777" w:rsidTr="0028007C">
        <w:tc>
          <w:tcPr>
            <w:tcW w:w="1795" w:type="dxa"/>
          </w:tcPr>
          <w:p w14:paraId="4DB94DC7" w14:textId="77777777" w:rsidR="00EC4015" w:rsidRPr="00250652" w:rsidRDefault="00EC4015" w:rsidP="00EC4015">
            <w:pPr>
              <w:rPr>
                <w:rFonts w:ascii="Arial" w:hAnsi="Arial" w:cs="Arial"/>
                <w:sz w:val="20"/>
                <w:szCs w:val="20"/>
              </w:rPr>
            </w:pPr>
            <w:r>
              <w:rPr>
                <w:rFonts w:ascii="Arial" w:hAnsi="Arial" w:cs="Arial"/>
                <w:sz w:val="20"/>
                <w:szCs w:val="20"/>
              </w:rPr>
              <w:lastRenderedPageBreak/>
              <w:t>Elementos de la regresión y su análisis.</w:t>
            </w:r>
          </w:p>
        </w:tc>
        <w:tc>
          <w:tcPr>
            <w:tcW w:w="6699" w:type="dxa"/>
          </w:tcPr>
          <w:p w14:paraId="58E99D57" w14:textId="77777777" w:rsidR="00EC4015" w:rsidRDefault="00EC4015" w:rsidP="00EC4015">
            <w:pPr>
              <w:rPr>
                <w:rFonts w:ascii="Arial" w:hAnsi="Arial" w:cs="Arial"/>
                <w:sz w:val="20"/>
                <w:szCs w:val="20"/>
              </w:rPr>
            </w:pPr>
            <w:r>
              <w:rPr>
                <w:rFonts w:ascii="Arial" w:hAnsi="Arial" w:cs="Arial"/>
                <w:sz w:val="20"/>
                <w:szCs w:val="20"/>
              </w:rPr>
              <w:t>Coeficientes:</w:t>
            </w:r>
          </w:p>
          <w:p w14:paraId="1545E87A" w14:textId="6737D150" w:rsidR="00EC4015" w:rsidRDefault="00EC4015" w:rsidP="00EC4015">
            <w:pPr>
              <w:pStyle w:val="ListParagraph"/>
              <w:numPr>
                <w:ilvl w:val="0"/>
                <w:numId w:val="1"/>
              </w:numPr>
              <w:rPr>
                <w:rFonts w:ascii="Arial" w:hAnsi="Arial" w:cs="Arial"/>
                <w:sz w:val="20"/>
                <w:szCs w:val="20"/>
              </w:rPr>
            </w:pPr>
            <w:r>
              <w:rPr>
                <w:rFonts w:ascii="Arial" w:hAnsi="Arial" w:cs="Arial"/>
                <w:sz w:val="20"/>
                <w:szCs w:val="20"/>
              </w:rPr>
              <w:t xml:space="preserve">Constante: </w:t>
            </w:r>
            <w:r w:rsidR="00A30D30">
              <w:rPr>
                <w:rFonts w:ascii="Arial" w:hAnsi="Arial" w:cs="Arial"/>
                <w:sz w:val="20"/>
                <w:szCs w:val="20"/>
              </w:rPr>
              <w:t>6.25</w:t>
            </w:r>
          </w:p>
          <w:p w14:paraId="35F449F1" w14:textId="453DDF33" w:rsidR="00EC4015" w:rsidRPr="001E6DED" w:rsidRDefault="00EC4015" w:rsidP="00EC4015">
            <w:pPr>
              <w:pStyle w:val="ListParagraph"/>
              <w:rPr>
                <w:rFonts w:ascii="Arial" w:hAnsi="Arial" w:cs="Arial"/>
                <w:i/>
                <w:iCs/>
                <w:sz w:val="20"/>
                <w:szCs w:val="20"/>
              </w:rPr>
            </w:pPr>
            <w:r>
              <w:rPr>
                <w:rFonts w:ascii="Arial" w:hAnsi="Arial" w:cs="Arial"/>
                <w:i/>
                <w:iCs/>
                <w:sz w:val="20"/>
                <w:szCs w:val="20"/>
              </w:rPr>
              <w:t xml:space="preserve">Significa que </w:t>
            </w:r>
            <w:r w:rsidR="002C24F8">
              <w:rPr>
                <w:rFonts w:ascii="Arial" w:hAnsi="Arial" w:cs="Arial"/>
                <w:i/>
                <w:iCs/>
                <w:sz w:val="20"/>
                <w:szCs w:val="20"/>
              </w:rPr>
              <w:t>al mínimo de apoyo de salud pública el mínimo de apoyo al aborto es de 6.25 puntos en una escala del 1 al 10</w:t>
            </w:r>
          </w:p>
          <w:p w14:paraId="77C5702C" w14:textId="1471E35F" w:rsidR="00EC4015" w:rsidRDefault="00A30D30" w:rsidP="00EC4015">
            <w:pPr>
              <w:pStyle w:val="ListParagraph"/>
              <w:numPr>
                <w:ilvl w:val="0"/>
                <w:numId w:val="1"/>
              </w:numPr>
              <w:rPr>
                <w:rFonts w:ascii="Arial" w:hAnsi="Arial" w:cs="Arial"/>
                <w:sz w:val="20"/>
                <w:szCs w:val="20"/>
              </w:rPr>
            </w:pPr>
            <w:r>
              <w:rPr>
                <w:rFonts w:ascii="Arial" w:hAnsi="Arial" w:cs="Arial"/>
                <w:sz w:val="20"/>
                <w:szCs w:val="20"/>
              </w:rPr>
              <w:t>ROES101</w:t>
            </w:r>
            <w:r w:rsidR="00EC4015">
              <w:rPr>
                <w:rFonts w:ascii="Arial" w:hAnsi="Arial" w:cs="Arial"/>
                <w:sz w:val="20"/>
                <w:szCs w:val="20"/>
              </w:rPr>
              <w:t>: 0.</w:t>
            </w:r>
            <w:r>
              <w:rPr>
                <w:rFonts w:ascii="Arial" w:hAnsi="Arial" w:cs="Arial"/>
                <w:sz w:val="20"/>
                <w:szCs w:val="20"/>
              </w:rPr>
              <w:t>5</w:t>
            </w:r>
          </w:p>
          <w:p w14:paraId="160841C9" w14:textId="71A87CCB" w:rsidR="00A30D30" w:rsidRPr="001E6DED" w:rsidRDefault="00A30D30" w:rsidP="00A30D30">
            <w:pPr>
              <w:pStyle w:val="ListParagraph"/>
              <w:rPr>
                <w:rFonts w:ascii="Arial" w:hAnsi="Arial" w:cs="Arial"/>
                <w:i/>
                <w:iCs/>
                <w:sz w:val="20"/>
                <w:szCs w:val="20"/>
              </w:rPr>
            </w:pPr>
            <w:r>
              <w:rPr>
                <w:rFonts w:ascii="Arial" w:hAnsi="Arial" w:cs="Arial"/>
                <w:i/>
                <w:iCs/>
                <w:sz w:val="20"/>
                <w:szCs w:val="20"/>
              </w:rPr>
              <w:t>Significa que cuando el apoyo a la salud pública sube 1 punto (en una escala de 1 a 7), el nivel de acuerdo con el aborto legal se incrementa en 0.5 punto</w:t>
            </w:r>
            <w:r w:rsidR="002C24F8">
              <w:rPr>
                <w:rFonts w:ascii="Arial" w:hAnsi="Arial" w:cs="Arial"/>
                <w:i/>
                <w:iCs/>
                <w:sz w:val="20"/>
                <w:szCs w:val="20"/>
              </w:rPr>
              <w:t>s</w:t>
            </w:r>
            <w:r>
              <w:rPr>
                <w:rFonts w:ascii="Arial" w:hAnsi="Arial" w:cs="Arial"/>
                <w:i/>
                <w:iCs/>
                <w:sz w:val="20"/>
                <w:szCs w:val="20"/>
              </w:rPr>
              <w:t xml:space="preserve"> (en una escala de 1 a 10)</w:t>
            </w:r>
          </w:p>
          <w:p w14:paraId="387F9F49" w14:textId="77777777" w:rsidR="00EC4015" w:rsidRDefault="00EC4015" w:rsidP="00EC4015">
            <w:pPr>
              <w:rPr>
                <w:rFonts w:ascii="Arial" w:hAnsi="Arial" w:cs="Arial"/>
                <w:sz w:val="20"/>
                <w:szCs w:val="20"/>
              </w:rPr>
            </w:pPr>
          </w:p>
          <w:p w14:paraId="130E9873" w14:textId="1C35C050" w:rsidR="00EC4015" w:rsidRDefault="00EC4015" w:rsidP="00EC4015">
            <w:pPr>
              <w:rPr>
                <w:rFonts w:ascii="Arial" w:hAnsi="Arial" w:cs="Arial"/>
                <w:sz w:val="20"/>
                <w:szCs w:val="20"/>
              </w:rPr>
            </w:pPr>
            <w:r>
              <w:rPr>
                <w:rFonts w:ascii="Arial" w:hAnsi="Arial" w:cs="Arial"/>
                <w:sz w:val="20"/>
                <w:szCs w:val="20"/>
              </w:rPr>
              <w:t>R2: 0.0</w:t>
            </w:r>
            <w:r w:rsidR="00A30D30">
              <w:rPr>
                <w:rFonts w:ascii="Arial" w:hAnsi="Arial" w:cs="Arial"/>
                <w:sz w:val="20"/>
                <w:szCs w:val="20"/>
              </w:rPr>
              <w:t>93</w:t>
            </w:r>
          </w:p>
          <w:p w14:paraId="31FB40F4" w14:textId="47BEA8D4" w:rsidR="00EC4015" w:rsidRPr="004F3AE2" w:rsidRDefault="00EC4015" w:rsidP="00EC4015">
            <w:pPr>
              <w:rPr>
                <w:rFonts w:ascii="Arial" w:hAnsi="Arial" w:cs="Arial"/>
                <w:i/>
                <w:iCs/>
                <w:sz w:val="20"/>
                <w:szCs w:val="20"/>
              </w:rPr>
            </w:pPr>
            <w:r>
              <w:rPr>
                <w:rFonts w:ascii="Arial" w:hAnsi="Arial" w:cs="Arial"/>
                <w:i/>
                <w:iCs/>
                <w:sz w:val="20"/>
                <w:szCs w:val="20"/>
              </w:rPr>
              <w:t xml:space="preserve">Significa que sólo un </w:t>
            </w:r>
            <w:r w:rsidR="00A30D30">
              <w:rPr>
                <w:rFonts w:ascii="Arial" w:hAnsi="Arial" w:cs="Arial"/>
                <w:i/>
                <w:iCs/>
                <w:sz w:val="20"/>
                <w:szCs w:val="20"/>
              </w:rPr>
              <w:t>9.3</w:t>
            </w:r>
            <w:r>
              <w:rPr>
                <w:rFonts w:ascii="Arial" w:hAnsi="Arial" w:cs="Arial"/>
                <w:i/>
                <w:iCs/>
                <w:sz w:val="20"/>
                <w:szCs w:val="20"/>
              </w:rPr>
              <w:t>% de la varianza de</w:t>
            </w:r>
            <w:r w:rsidR="00A30D30">
              <w:rPr>
                <w:rFonts w:ascii="Arial" w:hAnsi="Arial" w:cs="Arial"/>
                <w:i/>
                <w:iCs/>
                <w:sz w:val="20"/>
                <w:szCs w:val="20"/>
              </w:rPr>
              <w:t>l</w:t>
            </w:r>
            <w:r>
              <w:rPr>
                <w:rFonts w:ascii="Arial" w:hAnsi="Arial" w:cs="Arial"/>
                <w:i/>
                <w:iCs/>
                <w:sz w:val="20"/>
                <w:szCs w:val="20"/>
              </w:rPr>
              <w:t xml:space="preserve"> </w:t>
            </w:r>
            <w:r w:rsidR="00A30D30">
              <w:rPr>
                <w:rFonts w:ascii="Arial" w:hAnsi="Arial" w:cs="Arial"/>
                <w:i/>
                <w:iCs/>
                <w:sz w:val="20"/>
                <w:szCs w:val="20"/>
              </w:rPr>
              <w:t>apoyo al aborto legal</w:t>
            </w:r>
            <w:r>
              <w:rPr>
                <w:rFonts w:ascii="Arial" w:hAnsi="Arial" w:cs="Arial"/>
                <w:i/>
                <w:iCs/>
                <w:sz w:val="20"/>
                <w:szCs w:val="20"/>
              </w:rPr>
              <w:t xml:space="preserve"> se explica por </w:t>
            </w:r>
            <w:r w:rsidR="00A30D30">
              <w:rPr>
                <w:rFonts w:ascii="Arial" w:hAnsi="Arial" w:cs="Arial"/>
                <w:i/>
                <w:iCs/>
                <w:sz w:val="20"/>
                <w:szCs w:val="20"/>
              </w:rPr>
              <w:t>el apoyo a la salud pública</w:t>
            </w:r>
            <w:r>
              <w:rPr>
                <w:rFonts w:ascii="Arial" w:hAnsi="Arial" w:cs="Arial"/>
                <w:i/>
                <w:iCs/>
                <w:sz w:val="20"/>
                <w:szCs w:val="20"/>
              </w:rPr>
              <w:t>, es decir que ésta última no es un buen predictor de la primera y que hay otros factores intervinientes (efecto explicativo débil).</w:t>
            </w:r>
          </w:p>
          <w:p w14:paraId="0EF7ADEE" w14:textId="77777777" w:rsidR="00EC4015" w:rsidRDefault="00EC4015" w:rsidP="00EC4015">
            <w:pPr>
              <w:rPr>
                <w:rFonts w:ascii="Arial" w:hAnsi="Arial" w:cs="Arial"/>
                <w:sz w:val="20"/>
                <w:szCs w:val="20"/>
              </w:rPr>
            </w:pPr>
          </w:p>
          <w:p w14:paraId="4ED83C68" w14:textId="24ACDA17" w:rsidR="00EC4015" w:rsidRDefault="00EC4015" w:rsidP="00EC4015">
            <w:pPr>
              <w:rPr>
                <w:rFonts w:ascii="Arial" w:hAnsi="Arial" w:cs="Arial"/>
                <w:sz w:val="20"/>
                <w:szCs w:val="20"/>
              </w:rPr>
            </w:pPr>
            <w:r>
              <w:rPr>
                <w:rFonts w:ascii="Arial" w:hAnsi="Arial" w:cs="Arial"/>
                <w:sz w:val="20"/>
                <w:szCs w:val="20"/>
              </w:rPr>
              <w:t xml:space="preserve">Nivel de significatividad: </w:t>
            </w:r>
            <w:r w:rsidR="00A30D30">
              <w:rPr>
                <w:rFonts w:ascii="Arial" w:hAnsi="Arial" w:cs="Arial"/>
                <w:sz w:val="20"/>
                <w:szCs w:val="20"/>
              </w:rPr>
              <w:t>10.93</w:t>
            </w:r>
          </w:p>
          <w:p w14:paraId="58923D6B" w14:textId="77777777" w:rsidR="00EC4015" w:rsidRPr="004F3AE2" w:rsidRDefault="00EC4015" w:rsidP="00EC4015">
            <w:pPr>
              <w:rPr>
                <w:rFonts w:ascii="Arial" w:hAnsi="Arial" w:cs="Arial"/>
                <w:i/>
                <w:iCs/>
                <w:sz w:val="20"/>
                <w:szCs w:val="20"/>
              </w:rPr>
            </w:pPr>
            <w:r>
              <w:rPr>
                <w:rFonts w:ascii="Arial" w:hAnsi="Arial" w:cs="Arial"/>
                <w:i/>
                <w:iCs/>
                <w:sz w:val="20"/>
                <w:szCs w:val="20"/>
              </w:rPr>
              <w:t xml:space="preserve">Al ser varias veces mayor que 1, significa que la varianza explicada por el modelo es mayor a la no explicada </w:t>
            </w:r>
          </w:p>
          <w:p w14:paraId="7D4B1154" w14:textId="121F693A" w:rsidR="00EC4015" w:rsidRDefault="00EC4015" w:rsidP="00EC4015">
            <w:pPr>
              <w:rPr>
                <w:rFonts w:ascii="Arial" w:hAnsi="Arial" w:cs="Arial"/>
                <w:sz w:val="20"/>
                <w:szCs w:val="20"/>
              </w:rPr>
            </w:pPr>
            <w:r>
              <w:rPr>
                <w:rFonts w:ascii="Arial" w:hAnsi="Arial" w:cs="Arial"/>
                <w:sz w:val="20"/>
                <w:szCs w:val="20"/>
              </w:rPr>
              <w:t>p-valor: 0.0</w:t>
            </w:r>
            <w:r w:rsidR="00A30D30">
              <w:rPr>
                <w:rFonts w:ascii="Arial" w:hAnsi="Arial" w:cs="Arial"/>
                <w:sz w:val="20"/>
                <w:szCs w:val="20"/>
              </w:rPr>
              <w:t>0</w:t>
            </w:r>
            <w:r>
              <w:rPr>
                <w:rFonts w:ascii="Arial" w:hAnsi="Arial" w:cs="Arial"/>
                <w:sz w:val="20"/>
                <w:szCs w:val="20"/>
              </w:rPr>
              <w:t>1</w:t>
            </w:r>
            <w:r w:rsidR="00A30D30">
              <w:rPr>
                <w:rFonts w:ascii="Arial" w:hAnsi="Arial" w:cs="Arial"/>
                <w:sz w:val="20"/>
                <w:szCs w:val="20"/>
              </w:rPr>
              <w:t>2</w:t>
            </w:r>
          </w:p>
          <w:p w14:paraId="43E4AD17" w14:textId="77777777" w:rsidR="00EC4015" w:rsidRPr="004F3AE2" w:rsidRDefault="00EC4015" w:rsidP="00EC4015">
            <w:pPr>
              <w:rPr>
                <w:rFonts w:ascii="Arial" w:hAnsi="Arial" w:cs="Arial"/>
                <w:i/>
                <w:iCs/>
                <w:sz w:val="20"/>
                <w:szCs w:val="20"/>
              </w:rPr>
            </w:pPr>
            <w:r>
              <w:rPr>
                <w:rFonts w:ascii="Arial" w:hAnsi="Arial" w:cs="Arial"/>
                <w:i/>
                <w:iCs/>
                <w:sz w:val="20"/>
                <w:szCs w:val="20"/>
              </w:rPr>
              <w:t>Al ser menor que 0.05, significa que es estadísticamente significativo</w:t>
            </w:r>
          </w:p>
          <w:p w14:paraId="36D122A6" w14:textId="77777777" w:rsidR="00EC4015" w:rsidRDefault="00EC4015" w:rsidP="00EC4015">
            <w:pPr>
              <w:rPr>
                <w:rFonts w:ascii="Arial" w:hAnsi="Arial" w:cs="Arial"/>
                <w:sz w:val="20"/>
                <w:szCs w:val="20"/>
              </w:rPr>
            </w:pPr>
          </w:p>
          <w:p w14:paraId="102B053C" w14:textId="7E234EFC" w:rsidR="00EC4015" w:rsidRDefault="00EC4015" w:rsidP="00EC4015">
            <w:pPr>
              <w:rPr>
                <w:rFonts w:ascii="Arial" w:hAnsi="Arial" w:cs="Arial"/>
                <w:sz w:val="20"/>
                <w:szCs w:val="20"/>
              </w:rPr>
            </w:pPr>
            <w:r w:rsidRPr="004F3AE2">
              <w:rPr>
                <w:rFonts w:ascii="Arial" w:hAnsi="Arial" w:cs="Arial"/>
                <w:sz w:val="20"/>
                <w:szCs w:val="20"/>
              </w:rPr>
              <w:t xml:space="preserve">t de student de </w:t>
            </w:r>
            <w:r w:rsidR="002C24F8">
              <w:rPr>
                <w:rFonts w:ascii="Arial" w:hAnsi="Arial" w:cs="Arial"/>
                <w:sz w:val="20"/>
                <w:szCs w:val="20"/>
              </w:rPr>
              <w:t>ROES101</w:t>
            </w:r>
            <w:r w:rsidRPr="004F3AE2">
              <w:rPr>
                <w:rFonts w:ascii="Arial" w:hAnsi="Arial" w:cs="Arial"/>
                <w:sz w:val="20"/>
                <w:szCs w:val="20"/>
              </w:rPr>
              <w:t xml:space="preserve">: </w:t>
            </w:r>
            <w:r w:rsidR="002B4734">
              <w:rPr>
                <w:rFonts w:ascii="Arial" w:hAnsi="Arial" w:cs="Arial"/>
                <w:sz w:val="20"/>
                <w:szCs w:val="20"/>
              </w:rPr>
              <w:t>3.306</w:t>
            </w:r>
          </w:p>
          <w:p w14:paraId="5D749AD9" w14:textId="77777777" w:rsidR="00EC4015" w:rsidRPr="000A61A0" w:rsidRDefault="00EC4015" w:rsidP="00EC4015">
            <w:pPr>
              <w:rPr>
                <w:rFonts w:ascii="Arial" w:hAnsi="Arial" w:cs="Arial"/>
                <w:i/>
                <w:iCs/>
                <w:sz w:val="20"/>
                <w:szCs w:val="20"/>
              </w:rPr>
            </w:pPr>
            <w:r>
              <w:rPr>
                <w:rFonts w:ascii="Arial" w:hAnsi="Arial" w:cs="Arial"/>
                <w:i/>
                <w:iCs/>
                <w:sz w:val="20"/>
                <w:szCs w:val="20"/>
              </w:rPr>
              <w:t>Al ser mayor que 2, indica que el impacto de la variable independiente es relevante sobre la variable dependiente.</w:t>
            </w:r>
          </w:p>
          <w:p w14:paraId="5D655EAE" w14:textId="77777777" w:rsidR="00EC4015" w:rsidRPr="004F3AE2" w:rsidRDefault="00EC4015" w:rsidP="00EC4015">
            <w:pPr>
              <w:rPr>
                <w:rFonts w:ascii="Arial" w:hAnsi="Arial" w:cs="Arial"/>
                <w:sz w:val="20"/>
                <w:szCs w:val="20"/>
              </w:rPr>
            </w:pPr>
          </w:p>
        </w:tc>
      </w:tr>
      <w:tr w:rsidR="00EC4015" w:rsidRPr="000A61A0" w14:paraId="067DB120" w14:textId="77777777" w:rsidTr="0028007C">
        <w:tc>
          <w:tcPr>
            <w:tcW w:w="1795" w:type="dxa"/>
          </w:tcPr>
          <w:p w14:paraId="10B3397A" w14:textId="77777777" w:rsidR="00EC4015" w:rsidRPr="001E6DED" w:rsidRDefault="00EC4015" w:rsidP="00EC4015">
            <w:pPr>
              <w:rPr>
                <w:rFonts w:ascii="Arial" w:hAnsi="Arial" w:cs="Arial"/>
                <w:sz w:val="20"/>
                <w:szCs w:val="20"/>
                <w:lang w:val="en-US"/>
              </w:rPr>
            </w:pPr>
            <w:r>
              <w:rPr>
                <w:rFonts w:ascii="Arial" w:hAnsi="Arial" w:cs="Arial"/>
                <w:sz w:val="20"/>
                <w:szCs w:val="20"/>
                <w:lang w:val="en-US"/>
              </w:rPr>
              <w:t>Conclusiones</w:t>
            </w:r>
          </w:p>
        </w:tc>
        <w:tc>
          <w:tcPr>
            <w:tcW w:w="6699" w:type="dxa"/>
          </w:tcPr>
          <w:p w14:paraId="46B0C4E0" w14:textId="23BCD9CE" w:rsidR="00EC4015" w:rsidRPr="000A61A0" w:rsidRDefault="00EC4015" w:rsidP="00EC4015">
            <w:pPr>
              <w:rPr>
                <w:rFonts w:ascii="Arial" w:hAnsi="Arial" w:cs="Arial"/>
                <w:sz w:val="20"/>
                <w:szCs w:val="20"/>
              </w:rPr>
            </w:pPr>
            <w:r w:rsidRPr="000A61A0">
              <w:rPr>
                <w:rFonts w:ascii="Arial" w:hAnsi="Arial" w:cs="Arial"/>
                <w:sz w:val="20"/>
                <w:szCs w:val="20"/>
              </w:rPr>
              <w:t xml:space="preserve">En nuestro modelo, </w:t>
            </w:r>
            <w:r w:rsidRPr="000A61A0">
              <w:rPr>
                <w:rFonts w:ascii="Arial" w:hAnsi="Arial" w:cs="Arial"/>
                <w:b/>
                <w:bCs/>
                <w:sz w:val="20"/>
                <w:szCs w:val="20"/>
              </w:rPr>
              <w:t>cu</w:t>
            </w:r>
            <w:r>
              <w:rPr>
                <w:rFonts w:ascii="Arial" w:hAnsi="Arial" w:cs="Arial"/>
                <w:b/>
                <w:bCs/>
                <w:sz w:val="20"/>
                <w:szCs w:val="20"/>
              </w:rPr>
              <w:t xml:space="preserve">ánto </w:t>
            </w:r>
            <w:r w:rsidR="002B4734">
              <w:rPr>
                <w:rFonts w:ascii="Arial" w:hAnsi="Arial" w:cs="Arial"/>
                <w:b/>
                <w:bCs/>
                <w:sz w:val="20"/>
                <w:szCs w:val="20"/>
              </w:rPr>
              <w:t>mas se apoya la salud pública más se está de acuerdo con la legalización del aborto</w:t>
            </w:r>
            <w:r>
              <w:rPr>
                <w:rFonts w:ascii="Arial" w:hAnsi="Arial" w:cs="Arial"/>
                <w:b/>
                <w:bCs/>
                <w:sz w:val="20"/>
                <w:szCs w:val="20"/>
              </w:rPr>
              <w:t xml:space="preserve">. </w:t>
            </w:r>
            <w:r>
              <w:rPr>
                <w:rFonts w:ascii="Arial" w:hAnsi="Arial" w:cs="Arial"/>
                <w:sz w:val="20"/>
                <w:szCs w:val="20"/>
              </w:rPr>
              <w:t xml:space="preserve">La </w:t>
            </w:r>
            <w:r w:rsidR="002B4734">
              <w:rPr>
                <w:rFonts w:ascii="Arial" w:hAnsi="Arial" w:cs="Arial"/>
                <w:sz w:val="20"/>
                <w:szCs w:val="20"/>
              </w:rPr>
              <w:t>varianza es relativamente relevante así como también es estadísticamente significativa</w:t>
            </w:r>
            <w:r>
              <w:rPr>
                <w:rFonts w:ascii="Arial" w:hAnsi="Arial" w:cs="Arial"/>
                <w:sz w:val="20"/>
                <w:szCs w:val="20"/>
              </w:rPr>
              <w:t xml:space="preserve">. </w:t>
            </w:r>
            <w:r w:rsidR="002B4734">
              <w:rPr>
                <w:rFonts w:ascii="Arial" w:hAnsi="Arial" w:cs="Arial"/>
                <w:sz w:val="20"/>
                <w:szCs w:val="20"/>
              </w:rPr>
              <w:t>Sin embargo</w:t>
            </w:r>
            <w:r>
              <w:rPr>
                <w:rFonts w:ascii="Arial" w:hAnsi="Arial" w:cs="Arial"/>
                <w:sz w:val="20"/>
                <w:szCs w:val="20"/>
              </w:rPr>
              <w:t xml:space="preserve">, el bajo R2 indica que </w:t>
            </w:r>
            <w:r w:rsidR="002B4734">
              <w:rPr>
                <w:rFonts w:ascii="Arial" w:hAnsi="Arial" w:cs="Arial"/>
                <w:sz w:val="20"/>
                <w:szCs w:val="20"/>
              </w:rPr>
              <w:t>el factor explicativo del modelo es bajo. Hay otras variables que intervienen.</w:t>
            </w:r>
            <w:r>
              <w:rPr>
                <w:rFonts w:ascii="Arial" w:hAnsi="Arial" w:cs="Arial"/>
                <w:sz w:val="20"/>
                <w:szCs w:val="20"/>
              </w:rPr>
              <w:t xml:space="preserve"> </w:t>
            </w:r>
          </w:p>
        </w:tc>
      </w:tr>
    </w:tbl>
    <w:p w14:paraId="0B2DF8ED" w14:textId="77777777" w:rsidR="00EC4015" w:rsidRDefault="00EC4015" w:rsidP="00250652">
      <w:pPr>
        <w:rPr>
          <w:rFonts w:ascii="Arial" w:hAnsi="Arial" w:cs="Arial"/>
          <w:sz w:val="20"/>
          <w:szCs w:val="20"/>
        </w:rPr>
      </w:pPr>
    </w:p>
    <w:tbl>
      <w:tblPr>
        <w:tblStyle w:val="TableGrid"/>
        <w:tblW w:w="0" w:type="auto"/>
        <w:tblLook w:val="04A0" w:firstRow="1" w:lastRow="0" w:firstColumn="1" w:lastColumn="0" w:noHBand="0" w:noVBand="1"/>
      </w:tblPr>
      <w:tblGrid>
        <w:gridCol w:w="1795"/>
        <w:gridCol w:w="6699"/>
      </w:tblGrid>
      <w:tr w:rsidR="002C24F8" w:rsidRPr="00250652" w14:paraId="401C2342" w14:textId="77777777" w:rsidTr="0028007C">
        <w:tc>
          <w:tcPr>
            <w:tcW w:w="8494" w:type="dxa"/>
            <w:gridSpan w:val="2"/>
          </w:tcPr>
          <w:p w14:paraId="61F6475A" w14:textId="14F9E3D4" w:rsidR="002C24F8" w:rsidRPr="008B7306" w:rsidRDefault="002C24F8" w:rsidP="0028007C">
            <w:pPr>
              <w:rPr>
                <w:rFonts w:ascii="Arial" w:hAnsi="Arial" w:cs="Arial"/>
                <w:b/>
                <w:bCs/>
                <w:sz w:val="20"/>
                <w:szCs w:val="20"/>
                <w:lang w:val="en-US"/>
              </w:rPr>
            </w:pPr>
            <w:r w:rsidRPr="00250652">
              <w:rPr>
                <w:rFonts w:ascii="Arial" w:hAnsi="Arial" w:cs="Arial"/>
                <w:sz w:val="20"/>
                <w:szCs w:val="20"/>
                <w:shd w:val="clear" w:color="auto" w:fill="000000" w:themeFill="text1"/>
              </w:rPr>
              <w:t xml:space="preserve">REGRESIÓN LINEAL </w:t>
            </w:r>
            <w:r>
              <w:rPr>
                <w:rFonts w:ascii="Arial" w:hAnsi="Arial" w:cs="Arial"/>
                <w:sz w:val="20"/>
                <w:szCs w:val="20"/>
                <w:shd w:val="clear" w:color="auto" w:fill="000000" w:themeFill="text1"/>
              </w:rPr>
              <w:t>3</w:t>
            </w:r>
          </w:p>
        </w:tc>
      </w:tr>
      <w:tr w:rsidR="002C24F8" w:rsidRPr="00250652" w14:paraId="6CB31FF0" w14:textId="77777777" w:rsidTr="0028007C">
        <w:tc>
          <w:tcPr>
            <w:tcW w:w="1795" w:type="dxa"/>
          </w:tcPr>
          <w:p w14:paraId="12817378" w14:textId="77777777" w:rsidR="002C24F8" w:rsidRDefault="002C24F8" w:rsidP="0028007C">
            <w:pPr>
              <w:rPr>
                <w:rFonts w:ascii="Arial" w:hAnsi="Arial" w:cs="Arial"/>
                <w:sz w:val="20"/>
                <w:szCs w:val="20"/>
                <w:lang w:val="en-US"/>
              </w:rPr>
            </w:pPr>
            <w:r>
              <w:rPr>
                <w:rFonts w:ascii="Arial" w:hAnsi="Arial" w:cs="Arial"/>
                <w:sz w:val="20"/>
                <w:szCs w:val="20"/>
                <w:lang w:val="en-US"/>
              </w:rPr>
              <w:t>Variable ind.</w:t>
            </w:r>
          </w:p>
        </w:tc>
        <w:tc>
          <w:tcPr>
            <w:tcW w:w="6699" w:type="dxa"/>
          </w:tcPr>
          <w:p w14:paraId="0B3789EE" w14:textId="03474916" w:rsidR="002C24F8" w:rsidRPr="00250652" w:rsidRDefault="002C24F8" w:rsidP="0028007C">
            <w:pPr>
              <w:rPr>
                <w:rFonts w:ascii="Arial" w:hAnsi="Arial" w:cs="Arial"/>
                <w:sz w:val="20"/>
                <w:szCs w:val="20"/>
              </w:rPr>
            </w:pPr>
            <w:r>
              <w:rPr>
                <w:rFonts w:ascii="Arial" w:hAnsi="Arial" w:cs="Arial"/>
                <w:b/>
                <w:bCs/>
                <w:sz w:val="20"/>
                <w:szCs w:val="20"/>
              </w:rPr>
              <w:t>Grado de importancia asignado a la corrupción como problema en la Argentina de hoy</w:t>
            </w:r>
            <w:r>
              <w:rPr>
                <w:rFonts w:ascii="Arial" w:hAnsi="Arial" w:cs="Arial"/>
                <w:sz w:val="20"/>
                <w:szCs w:val="20"/>
              </w:rPr>
              <w:t xml:space="preserve"> – </w:t>
            </w:r>
            <w:r>
              <w:rPr>
                <w:rFonts w:ascii="Arial" w:hAnsi="Arial" w:cs="Arial"/>
                <w:sz w:val="20"/>
                <w:szCs w:val="20"/>
              </w:rPr>
              <w:t xml:space="preserve">PRO109 </w:t>
            </w:r>
            <w:r>
              <w:rPr>
                <w:rFonts w:ascii="Arial" w:hAnsi="Arial" w:cs="Arial"/>
                <w:sz w:val="20"/>
                <w:szCs w:val="20"/>
              </w:rPr>
              <w:t xml:space="preserve">(en una escala de 1, </w:t>
            </w:r>
            <w:r>
              <w:rPr>
                <w:rFonts w:ascii="Arial" w:hAnsi="Arial" w:cs="Arial"/>
                <w:sz w:val="20"/>
                <w:szCs w:val="20"/>
              </w:rPr>
              <w:t>poca importancia</w:t>
            </w:r>
            <w:r>
              <w:rPr>
                <w:rFonts w:ascii="Arial" w:hAnsi="Arial" w:cs="Arial"/>
                <w:sz w:val="20"/>
                <w:szCs w:val="20"/>
              </w:rPr>
              <w:t xml:space="preserve">, a </w:t>
            </w:r>
            <w:r>
              <w:rPr>
                <w:rFonts w:ascii="Arial" w:hAnsi="Arial" w:cs="Arial"/>
                <w:sz w:val="20"/>
                <w:szCs w:val="20"/>
              </w:rPr>
              <w:t>10</w:t>
            </w:r>
            <w:r>
              <w:rPr>
                <w:rFonts w:ascii="Arial" w:hAnsi="Arial" w:cs="Arial"/>
                <w:sz w:val="20"/>
                <w:szCs w:val="20"/>
              </w:rPr>
              <w:t xml:space="preserve">, </w:t>
            </w:r>
            <w:r>
              <w:rPr>
                <w:rFonts w:ascii="Arial" w:hAnsi="Arial" w:cs="Arial"/>
                <w:sz w:val="20"/>
                <w:szCs w:val="20"/>
              </w:rPr>
              <w:t>mucha importancia</w:t>
            </w:r>
            <w:r>
              <w:rPr>
                <w:rFonts w:ascii="Arial" w:hAnsi="Arial" w:cs="Arial"/>
                <w:sz w:val="20"/>
                <w:szCs w:val="20"/>
              </w:rPr>
              <w:t>)</w:t>
            </w:r>
          </w:p>
        </w:tc>
      </w:tr>
      <w:tr w:rsidR="002C24F8" w:rsidRPr="00250652" w14:paraId="70E1A1EA" w14:textId="77777777" w:rsidTr="0028007C">
        <w:tc>
          <w:tcPr>
            <w:tcW w:w="1795" w:type="dxa"/>
          </w:tcPr>
          <w:p w14:paraId="2EDD2809" w14:textId="77777777" w:rsidR="002C24F8" w:rsidRDefault="002C24F8" w:rsidP="0028007C">
            <w:pPr>
              <w:rPr>
                <w:rFonts w:ascii="Arial" w:hAnsi="Arial" w:cs="Arial"/>
                <w:sz w:val="20"/>
                <w:szCs w:val="20"/>
                <w:lang w:val="en-US"/>
              </w:rPr>
            </w:pPr>
            <w:r>
              <w:rPr>
                <w:rFonts w:ascii="Arial" w:hAnsi="Arial" w:cs="Arial"/>
                <w:sz w:val="20"/>
                <w:szCs w:val="20"/>
                <w:lang w:val="en-US"/>
              </w:rPr>
              <w:t>Variable dep.</w:t>
            </w:r>
          </w:p>
        </w:tc>
        <w:tc>
          <w:tcPr>
            <w:tcW w:w="6699" w:type="dxa"/>
          </w:tcPr>
          <w:p w14:paraId="75559FD5" w14:textId="3259C518" w:rsidR="002C24F8" w:rsidRPr="00250652" w:rsidRDefault="002C24F8" w:rsidP="0028007C">
            <w:pPr>
              <w:rPr>
                <w:rFonts w:ascii="Arial" w:hAnsi="Arial" w:cs="Arial"/>
                <w:sz w:val="20"/>
                <w:szCs w:val="20"/>
              </w:rPr>
            </w:pPr>
            <w:r w:rsidRPr="00250652">
              <w:rPr>
                <w:rFonts w:ascii="Arial" w:hAnsi="Arial" w:cs="Arial"/>
                <w:b/>
                <w:bCs/>
                <w:sz w:val="20"/>
                <w:szCs w:val="20"/>
              </w:rPr>
              <w:t>Autoubicación ideológica</w:t>
            </w:r>
            <w:r>
              <w:rPr>
                <w:rFonts w:ascii="Arial" w:hAnsi="Arial" w:cs="Arial"/>
                <w:sz w:val="20"/>
                <w:szCs w:val="20"/>
              </w:rPr>
              <w:t xml:space="preserve"> – ID101 (en una escala de 1, izquierda, a 10, derecha)</w:t>
            </w:r>
          </w:p>
        </w:tc>
      </w:tr>
      <w:tr w:rsidR="002C24F8" w:rsidRPr="004F3AE2" w14:paraId="6AF7CDE4" w14:textId="77777777" w:rsidTr="0028007C">
        <w:tc>
          <w:tcPr>
            <w:tcW w:w="1795" w:type="dxa"/>
          </w:tcPr>
          <w:p w14:paraId="1B0D91CF" w14:textId="77777777" w:rsidR="002C24F8" w:rsidRDefault="002C24F8" w:rsidP="0028007C">
            <w:pPr>
              <w:rPr>
                <w:rFonts w:ascii="Arial" w:hAnsi="Arial" w:cs="Arial"/>
                <w:sz w:val="20"/>
                <w:szCs w:val="20"/>
              </w:rPr>
            </w:pPr>
            <w:r>
              <w:rPr>
                <w:rFonts w:ascii="Arial" w:hAnsi="Arial" w:cs="Arial"/>
                <w:sz w:val="20"/>
                <w:szCs w:val="20"/>
              </w:rPr>
              <w:t>Recta</w:t>
            </w:r>
          </w:p>
        </w:tc>
        <w:tc>
          <w:tcPr>
            <w:tcW w:w="6699" w:type="dxa"/>
          </w:tcPr>
          <w:p w14:paraId="729F7927" w14:textId="17635F23" w:rsidR="002C24F8" w:rsidRPr="004F3AE2" w:rsidRDefault="002C24F8" w:rsidP="0028007C">
            <w:pPr>
              <w:rPr>
                <w:rFonts w:ascii="Arial" w:hAnsi="Arial" w:cs="Arial"/>
                <w:sz w:val="20"/>
                <w:szCs w:val="20"/>
                <w:lang w:val="en-US"/>
              </w:rPr>
            </w:pPr>
            <w:r>
              <w:rPr>
                <w:rFonts w:ascii="Arial" w:hAnsi="Arial" w:cs="Arial"/>
                <w:sz w:val="20"/>
                <w:szCs w:val="20"/>
              </w:rPr>
              <w:t>ID101</w:t>
            </w:r>
            <w:r>
              <w:rPr>
                <w:rFonts w:ascii="Arial" w:hAnsi="Arial" w:cs="Arial"/>
                <w:sz w:val="20"/>
                <w:szCs w:val="20"/>
              </w:rPr>
              <w:t xml:space="preserve"> </w:t>
            </w:r>
            <w:r>
              <w:rPr>
                <w:rFonts w:ascii="Arial" w:hAnsi="Arial" w:cs="Arial"/>
                <w:sz w:val="20"/>
                <w:szCs w:val="20"/>
                <w:lang w:val="en-US"/>
              </w:rPr>
              <w:t xml:space="preserve">= </w:t>
            </w:r>
            <w:r>
              <w:rPr>
                <w:rFonts w:ascii="Arial" w:hAnsi="Arial" w:cs="Arial"/>
                <w:sz w:val="20"/>
                <w:szCs w:val="20"/>
                <w:lang w:val="en-US"/>
              </w:rPr>
              <w:t>1.48</w:t>
            </w:r>
            <w:r>
              <w:rPr>
                <w:rFonts w:ascii="Arial" w:hAnsi="Arial" w:cs="Arial"/>
                <w:sz w:val="20"/>
                <w:szCs w:val="20"/>
                <w:lang w:val="en-US"/>
              </w:rPr>
              <w:t xml:space="preserve"> + 0</w:t>
            </w:r>
            <w:r>
              <w:rPr>
                <w:rFonts w:ascii="Arial" w:hAnsi="Arial" w:cs="Arial"/>
                <w:sz w:val="20"/>
                <w:szCs w:val="20"/>
                <w:lang w:val="en-US"/>
              </w:rPr>
              <w:t>.42PRO109</w:t>
            </w:r>
          </w:p>
        </w:tc>
      </w:tr>
      <w:tr w:rsidR="002C24F8" w:rsidRPr="004F3AE2" w14:paraId="073DA0DD" w14:textId="77777777" w:rsidTr="0028007C">
        <w:tc>
          <w:tcPr>
            <w:tcW w:w="1795" w:type="dxa"/>
          </w:tcPr>
          <w:p w14:paraId="3FA2A66E" w14:textId="77777777" w:rsidR="002C24F8" w:rsidRPr="00250652" w:rsidRDefault="002C24F8" w:rsidP="0028007C">
            <w:pPr>
              <w:rPr>
                <w:rFonts w:ascii="Arial" w:hAnsi="Arial" w:cs="Arial"/>
                <w:sz w:val="20"/>
                <w:szCs w:val="20"/>
              </w:rPr>
            </w:pPr>
            <w:r>
              <w:rPr>
                <w:rFonts w:ascii="Arial" w:hAnsi="Arial" w:cs="Arial"/>
                <w:sz w:val="20"/>
                <w:szCs w:val="20"/>
              </w:rPr>
              <w:t>Elementos de la regresión y su análisis.</w:t>
            </w:r>
          </w:p>
        </w:tc>
        <w:tc>
          <w:tcPr>
            <w:tcW w:w="6699" w:type="dxa"/>
          </w:tcPr>
          <w:p w14:paraId="5DD79483" w14:textId="77777777" w:rsidR="002C24F8" w:rsidRDefault="002C24F8" w:rsidP="0028007C">
            <w:pPr>
              <w:rPr>
                <w:rFonts w:ascii="Arial" w:hAnsi="Arial" w:cs="Arial"/>
                <w:sz w:val="20"/>
                <w:szCs w:val="20"/>
              </w:rPr>
            </w:pPr>
            <w:r>
              <w:rPr>
                <w:rFonts w:ascii="Arial" w:hAnsi="Arial" w:cs="Arial"/>
                <w:sz w:val="20"/>
                <w:szCs w:val="20"/>
              </w:rPr>
              <w:t>Coeficientes:</w:t>
            </w:r>
          </w:p>
          <w:p w14:paraId="32695B87" w14:textId="42741620" w:rsidR="002C24F8" w:rsidRDefault="002C24F8" w:rsidP="0028007C">
            <w:pPr>
              <w:pStyle w:val="ListParagraph"/>
              <w:numPr>
                <w:ilvl w:val="0"/>
                <w:numId w:val="1"/>
              </w:numPr>
              <w:rPr>
                <w:rFonts w:ascii="Arial" w:hAnsi="Arial" w:cs="Arial"/>
                <w:sz w:val="20"/>
                <w:szCs w:val="20"/>
              </w:rPr>
            </w:pPr>
            <w:r>
              <w:rPr>
                <w:rFonts w:ascii="Arial" w:hAnsi="Arial" w:cs="Arial"/>
                <w:sz w:val="20"/>
                <w:szCs w:val="20"/>
              </w:rPr>
              <w:t xml:space="preserve">Constante: </w:t>
            </w:r>
            <w:r>
              <w:rPr>
                <w:rFonts w:ascii="Arial" w:hAnsi="Arial" w:cs="Arial"/>
                <w:sz w:val="20"/>
                <w:szCs w:val="20"/>
              </w:rPr>
              <w:t>1.48</w:t>
            </w:r>
          </w:p>
          <w:p w14:paraId="0EE92024" w14:textId="6513CF82" w:rsidR="002C24F8" w:rsidRPr="001E6DED" w:rsidRDefault="002C24F8" w:rsidP="0028007C">
            <w:pPr>
              <w:pStyle w:val="ListParagraph"/>
              <w:rPr>
                <w:rFonts w:ascii="Arial" w:hAnsi="Arial" w:cs="Arial"/>
                <w:i/>
                <w:iCs/>
                <w:sz w:val="20"/>
                <w:szCs w:val="20"/>
              </w:rPr>
            </w:pPr>
            <w:r>
              <w:rPr>
                <w:rFonts w:ascii="Arial" w:hAnsi="Arial" w:cs="Arial"/>
                <w:i/>
                <w:iCs/>
                <w:sz w:val="20"/>
                <w:szCs w:val="20"/>
              </w:rPr>
              <w:t xml:space="preserve">Significa que </w:t>
            </w:r>
            <w:r>
              <w:rPr>
                <w:rFonts w:ascii="Arial" w:hAnsi="Arial" w:cs="Arial"/>
                <w:i/>
                <w:iCs/>
                <w:sz w:val="20"/>
                <w:szCs w:val="20"/>
              </w:rPr>
              <w:t>a la mínima importancia dada a la corrupción la posición ideológica se ubica casi del todo a la izquierda</w:t>
            </w:r>
          </w:p>
          <w:p w14:paraId="2082AD3E" w14:textId="2C0D146D" w:rsidR="002C24F8" w:rsidRDefault="002C24F8" w:rsidP="0028007C">
            <w:pPr>
              <w:pStyle w:val="ListParagraph"/>
              <w:numPr>
                <w:ilvl w:val="0"/>
                <w:numId w:val="1"/>
              </w:numPr>
              <w:rPr>
                <w:rFonts w:ascii="Arial" w:hAnsi="Arial" w:cs="Arial"/>
                <w:sz w:val="20"/>
                <w:szCs w:val="20"/>
              </w:rPr>
            </w:pPr>
            <w:r>
              <w:rPr>
                <w:rFonts w:ascii="Arial" w:hAnsi="Arial" w:cs="Arial"/>
                <w:sz w:val="20"/>
                <w:szCs w:val="20"/>
              </w:rPr>
              <w:t>ROES101: 0</w:t>
            </w:r>
            <w:r>
              <w:rPr>
                <w:rFonts w:ascii="Arial" w:hAnsi="Arial" w:cs="Arial"/>
                <w:sz w:val="20"/>
                <w:szCs w:val="20"/>
              </w:rPr>
              <w:t>.42</w:t>
            </w:r>
          </w:p>
          <w:p w14:paraId="503CE4C9" w14:textId="1F12A889" w:rsidR="002C24F8" w:rsidRPr="001E6DED" w:rsidRDefault="002C24F8" w:rsidP="0028007C">
            <w:pPr>
              <w:pStyle w:val="ListParagraph"/>
              <w:rPr>
                <w:rFonts w:ascii="Arial" w:hAnsi="Arial" w:cs="Arial"/>
                <w:i/>
                <w:iCs/>
                <w:sz w:val="20"/>
                <w:szCs w:val="20"/>
              </w:rPr>
            </w:pPr>
            <w:r>
              <w:rPr>
                <w:rFonts w:ascii="Arial" w:hAnsi="Arial" w:cs="Arial"/>
                <w:i/>
                <w:iCs/>
                <w:sz w:val="20"/>
                <w:szCs w:val="20"/>
              </w:rPr>
              <w:t xml:space="preserve">Significa que </w:t>
            </w:r>
            <w:r>
              <w:rPr>
                <w:rFonts w:ascii="Arial" w:hAnsi="Arial" w:cs="Arial"/>
                <w:i/>
                <w:iCs/>
                <w:sz w:val="20"/>
                <w:szCs w:val="20"/>
              </w:rPr>
              <w:t>por cada punto que sube la preocupación por la corrupción, la autoubicación ideológica sube 0.42 a la derecha</w:t>
            </w:r>
          </w:p>
          <w:p w14:paraId="4B21D4E0" w14:textId="77777777" w:rsidR="002C24F8" w:rsidRDefault="002C24F8" w:rsidP="0028007C">
            <w:pPr>
              <w:rPr>
                <w:rFonts w:ascii="Arial" w:hAnsi="Arial" w:cs="Arial"/>
                <w:sz w:val="20"/>
                <w:szCs w:val="20"/>
              </w:rPr>
            </w:pPr>
          </w:p>
          <w:p w14:paraId="6BF077C1" w14:textId="04D3BF59" w:rsidR="002C24F8" w:rsidRDefault="002C24F8" w:rsidP="0028007C">
            <w:pPr>
              <w:rPr>
                <w:rFonts w:ascii="Arial" w:hAnsi="Arial" w:cs="Arial"/>
                <w:sz w:val="20"/>
                <w:szCs w:val="20"/>
              </w:rPr>
            </w:pPr>
            <w:r>
              <w:rPr>
                <w:rFonts w:ascii="Arial" w:hAnsi="Arial" w:cs="Arial"/>
                <w:sz w:val="20"/>
                <w:szCs w:val="20"/>
              </w:rPr>
              <w:t xml:space="preserve">R2: </w:t>
            </w:r>
            <w:r>
              <w:rPr>
                <w:rFonts w:ascii="Arial" w:hAnsi="Arial" w:cs="Arial"/>
                <w:sz w:val="20"/>
                <w:szCs w:val="20"/>
              </w:rPr>
              <w:t>0.235</w:t>
            </w:r>
          </w:p>
          <w:p w14:paraId="032F13EA" w14:textId="411E1D6D" w:rsidR="002C24F8" w:rsidRPr="004F3AE2" w:rsidRDefault="002C24F8" w:rsidP="0028007C">
            <w:pPr>
              <w:rPr>
                <w:rFonts w:ascii="Arial" w:hAnsi="Arial" w:cs="Arial"/>
                <w:i/>
                <w:iCs/>
                <w:sz w:val="20"/>
                <w:szCs w:val="20"/>
              </w:rPr>
            </w:pPr>
            <w:r>
              <w:rPr>
                <w:rFonts w:ascii="Arial" w:hAnsi="Arial" w:cs="Arial"/>
                <w:i/>
                <w:iCs/>
                <w:sz w:val="20"/>
                <w:szCs w:val="20"/>
              </w:rPr>
              <w:t xml:space="preserve">Significa que </w:t>
            </w:r>
            <w:r>
              <w:rPr>
                <w:rFonts w:ascii="Arial" w:hAnsi="Arial" w:cs="Arial"/>
                <w:i/>
                <w:iCs/>
                <w:sz w:val="20"/>
                <w:szCs w:val="20"/>
              </w:rPr>
              <w:t>un 23.5% de la varianza es explicada por esta relación que, si bien no es suficiente para ser un factor explicativo fuerte, indica que nuestro modelo explica satisfactoriamente al menos casi un cuarto del fenómeno.</w:t>
            </w:r>
          </w:p>
          <w:p w14:paraId="401BA198" w14:textId="77777777" w:rsidR="002C24F8" w:rsidRDefault="002C24F8" w:rsidP="0028007C">
            <w:pPr>
              <w:rPr>
                <w:rFonts w:ascii="Arial" w:hAnsi="Arial" w:cs="Arial"/>
                <w:sz w:val="20"/>
                <w:szCs w:val="20"/>
              </w:rPr>
            </w:pPr>
          </w:p>
          <w:p w14:paraId="7F1316CA" w14:textId="62CA9E65" w:rsidR="002C24F8" w:rsidRDefault="002C24F8" w:rsidP="0028007C">
            <w:pPr>
              <w:rPr>
                <w:rFonts w:ascii="Arial" w:hAnsi="Arial" w:cs="Arial"/>
                <w:sz w:val="20"/>
                <w:szCs w:val="20"/>
              </w:rPr>
            </w:pPr>
            <w:r>
              <w:rPr>
                <w:rFonts w:ascii="Arial" w:hAnsi="Arial" w:cs="Arial"/>
                <w:sz w:val="20"/>
                <w:szCs w:val="20"/>
              </w:rPr>
              <w:t xml:space="preserve">Nivel de significatividad: </w:t>
            </w:r>
            <w:r>
              <w:rPr>
                <w:rFonts w:ascii="Arial" w:hAnsi="Arial" w:cs="Arial"/>
                <w:sz w:val="20"/>
                <w:szCs w:val="20"/>
              </w:rPr>
              <w:t>32.79</w:t>
            </w:r>
          </w:p>
          <w:p w14:paraId="1A5E3AAC" w14:textId="77777777" w:rsidR="002C24F8" w:rsidRPr="004F3AE2" w:rsidRDefault="002C24F8" w:rsidP="0028007C">
            <w:pPr>
              <w:rPr>
                <w:rFonts w:ascii="Arial" w:hAnsi="Arial" w:cs="Arial"/>
                <w:i/>
                <w:iCs/>
                <w:sz w:val="20"/>
                <w:szCs w:val="20"/>
              </w:rPr>
            </w:pPr>
            <w:r>
              <w:rPr>
                <w:rFonts w:ascii="Arial" w:hAnsi="Arial" w:cs="Arial"/>
                <w:i/>
                <w:iCs/>
                <w:sz w:val="20"/>
                <w:szCs w:val="20"/>
              </w:rPr>
              <w:t xml:space="preserve">Al ser varias veces mayor que 1, significa que la varianza explicada por el modelo es mayor a la no explicada </w:t>
            </w:r>
          </w:p>
          <w:p w14:paraId="39EC22A9" w14:textId="6BF2641A" w:rsidR="002C24F8" w:rsidRPr="004F3AE2" w:rsidRDefault="002C24F8" w:rsidP="0028007C">
            <w:pPr>
              <w:rPr>
                <w:rFonts w:ascii="Arial" w:hAnsi="Arial" w:cs="Arial"/>
                <w:i/>
                <w:iCs/>
                <w:sz w:val="20"/>
                <w:szCs w:val="20"/>
              </w:rPr>
            </w:pPr>
            <w:r>
              <w:rPr>
                <w:rFonts w:ascii="Arial" w:hAnsi="Arial" w:cs="Arial"/>
                <w:sz w:val="20"/>
                <w:szCs w:val="20"/>
              </w:rPr>
              <w:t xml:space="preserve">p-valor: </w:t>
            </w:r>
            <w:r w:rsidRPr="002C24F8">
              <w:rPr>
                <w:rFonts w:ascii="Arial" w:hAnsi="Arial" w:cs="Arial"/>
                <w:sz w:val="20"/>
                <w:szCs w:val="20"/>
              </w:rPr>
              <w:t>9.51e-08</w:t>
            </w:r>
            <w:r>
              <w:rPr>
                <w:rFonts w:ascii="Arial" w:hAnsi="Arial" w:cs="Arial"/>
                <w:sz w:val="20"/>
                <w:szCs w:val="20"/>
              </w:rPr>
              <w:br/>
            </w:r>
            <w:r>
              <w:rPr>
                <w:rFonts w:ascii="Arial" w:hAnsi="Arial" w:cs="Arial"/>
                <w:i/>
                <w:iCs/>
                <w:sz w:val="20"/>
                <w:szCs w:val="20"/>
              </w:rPr>
              <w:t xml:space="preserve">Al ser </w:t>
            </w:r>
            <w:r>
              <w:rPr>
                <w:rFonts w:ascii="Arial" w:hAnsi="Arial" w:cs="Arial"/>
                <w:i/>
                <w:iCs/>
                <w:sz w:val="20"/>
                <w:szCs w:val="20"/>
              </w:rPr>
              <w:t>casi 0</w:t>
            </w:r>
            <w:r>
              <w:rPr>
                <w:rFonts w:ascii="Arial" w:hAnsi="Arial" w:cs="Arial"/>
                <w:i/>
                <w:iCs/>
                <w:sz w:val="20"/>
                <w:szCs w:val="20"/>
              </w:rPr>
              <w:t>, significa que es estadísticamente significativo</w:t>
            </w:r>
          </w:p>
          <w:p w14:paraId="32FA7567" w14:textId="77777777" w:rsidR="002C24F8" w:rsidRDefault="002C24F8" w:rsidP="0028007C">
            <w:pPr>
              <w:rPr>
                <w:rFonts w:ascii="Arial" w:hAnsi="Arial" w:cs="Arial"/>
                <w:sz w:val="20"/>
                <w:szCs w:val="20"/>
              </w:rPr>
            </w:pPr>
          </w:p>
          <w:p w14:paraId="4D76B93F" w14:textId="4277AF21" w:rsidR="002C24F8" w:rsidRDefault="002C24F8" w:rsidP="0028007C">
            <w:pPr>
              <w:rPr>
                <w:rFonts w:ascii="Arial" w:hAnsi="Arial" w:cs="Arial"/>
                <w:sz w:val="20"/>
                <w:szCs w:val="20"/>
              </w:rPr>
            </w:pPr>
            <w:r w:rsidRPr="004F3AE2">
              <w:rPr>
                <w:rFonts w:ascii="Arial" w:hAnsi="Arial" w:cs="Arial"/>
                <w:sz w:val="20"/>
                <w:szCs w:val="20"/>
              </w:rPr>
              <w:t xml:space="preserve">t de student de ID101: </w:t>
            </w:r>
            <w:r>
              <w:rPr>
                <w:rFonts w:ascii="Arial" w:hAnsi="Arial" w:cs="Arial"/>
                <w:sz w:val="20"/>
                <w:szCs w:val="20"/>
              </w:rPr>
              <w:t>5.726</w:t>
            </w:r>
          </w:p>
          <w:p w14:paraId="5EAD9501" w14:textId="77777777" w:rsidR="002C24F8" w:rsidRPr="000A61A0" w:rsidRDefault="002C24F8" w:rsidP="0028007C">
            <w:pPr>
              <w:rPr>
                <w:rFonts w:ascii="Arial" w:hAnsi="Arial" w:cs="Arial"/>
                <w:i/>
                <w:iCs/>
                <w:sz w:val="20"/>
                <w:szCs w:val="20"/>
              </w:rPr>
            </w:pPr>
            <w:r>
              <w:rPr>
                <w:rFonts w:ascii="Arial" w:hAnsi="Arial" w:cs="Arial"/>
                <w:i/>
                <w:iCs/>
                <w:sz w:val="20"/>
                <w:szCs w:val="20"/>
              </w:rPr>
              <w:t>Al ser mayor que 2, indica que el impacto de la variable independiente es relevante sobre la variable dependiente.</w:t>
            </w:r>
          </w:p>
          <w:p w14:paraId="443A2F84" w14:textId="77777777" w:rsidR="002C24F8" w:rsidRPr="004F3AE2" w:rsidRDefault="002C24F8" w:rsidP="0028007C">
            <w:pPr>
              <w:rPr>
                <w:rFonts w:ascii="Arial" w:hAnsi="Arial" w:cs="Arial"/>
                <w:sz w:val="20"/>
                <w:szCs w:val="20"/>
              </w:rPr>
            </w:pPr>
          </w:p>
        </w:tc>
      </w:tr>
      <w:tr w:rsidR="002C24F8" w:rsidRPr="000A61A0" w14:paraId="49A605A1" w14:textId="77777777" w:rsidTr="0028007C">
        <w:tc>
          <w:tcPr>
            <w:tcW w:w="1795" w:type="dxa"/>
          </w:tcPr>
          <w:p w14:paraId="625103D1" w14:textId="77777777" w:rsidR="002C24F8" w:rsidRPr="001E6DED" w:rsidRDefault="002C24F8" w:rsidP="0028007C">
            <w:pPr>
              <w:rPr>
                <w:rFonts w:ascii="Arial" w:hAnsi="Arial" w:cs="Arial"/>
                <w:sz w:val="20"/>
                <w:szCs w:val="20"/>
                <w:lang w:val="en-US"/>
              </w:rPr>
            </w:pPr>
            <w:r>
              <w:rPr>
                <w:rFonts w:ascii="Arial" w:hAnsi="Arial" w:cs="Arial"/>
                <w:sz w:val="20"/>
                <w:szCs w:val="20"/>
                <w:lang w:val="en-US"/>
              </w:rPr>
              <w:lastRenderedPageBreak/>
              <w:t>Conclusiones</w:t>
            </w:r>
          </w:p>
        </w:tc>
        <w:tc>
          <w:tcPr>
            <w:tcW w:w="6699" w:type="dxa"/>
          </w:tcPr>
          <w:p w14:paraId="590C5858" w14:textId="1606252B" w:rsidR="002C24F8" w:rsidRPr="000A61A0" w:rsidRDefault="002C24F8" w:rsidP="0028007C">
            <w:pPr>
              <w:rPr>
                <w:rFonts w:ascii="Arial" w:hAnsi="Arial" w:cs="Arial"/>
                <w:sz w:val="20"/>
                <w:szCs w:val="20"/>
              </w:rPr>
            </w:pPr>
            <w:r w:rsidRPr="000A61A0">
              <w:rPr>
                <w:rFonts w:ascii="Arial" w:hAnsi="Arial" w:cs="Arial"/>
                <w:sz w:val="20"/>
                <w:szCs w:val="20"/>
              </w:rPr>
              <w:t xml:space="preserve">En nuestro modelo, </w:t>
            </w:r>
            <w:r>
              <w:rPr>
                <w:rFonts w:ascii="Arial" w:hAnsi="Arial" w:cs="Arial"/>
                <w:b/>
                <w:bCs/>
                <w:sz w:val="20"/>
                <w:szCs w:val="20"/>
              </w:rPr>
              <w:t>cuanto más preocupación se le da a la corrupción como problema público más a la derecha se ubica en la escala ideológca</w:t>
            </w:r>
            <w:r>
              <w:rPr>
                <w:rFonts w:ascii="Arial" w:hAnsi="Arial" w:cs="Arial"/>
                <w:b/>
                <w:bCs/>
                <w:sz w:val="20"/>
                <w:szCs w:val="20"/>
              </w:rPr>
              <w:t xml:space="preserve">. </w:t>
            </w:r>
            <w:r>
              <w:rPr>
                <w:rFonts w:ascii="Arial" w:hAnsi="Arial" w:cs="Arial"/>
                <w:sz w:val="20"/>
                <w:szCs w:val="20"/>
              </w:rPr>
              <w:t>El modelo es estadísticamente significativo y la variable independiente explica un cuarto de la varianza de la independiente. Si bien es necesario encontrar otras variables que fortalezcan el modelo, la relación que se reconoce es fuerte.</w:t>
            </w:r>
          </w:p>
        </w:tc>
      </w:tr>
    </w:tbl>
    <w:p w14:paraId="3BB32098" w14:textId="77777777" w:rsidR="002C24F8" w:rsidRPr="00EC4015" w:rsidRDefault="002C24F8" w:rsidP="00250652">
      <w:pPr>
        <w:rPr>
          <w:rFonts w:ascii="Arial" w:hAnsi="Arial" w:cs="Arial"/>
          <w:sz w:val="20"/>
          <w:szCs w:val="20"/>
        </w:rPr>
      </w:pPr>
    </w:p>
    <w:sectPr w:rsidR="002C24F8" w:rsidRPr="00EC4015" w:rsidSect="002506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2150C"/>
    <w:multiLevelType w:val="hybridMultilevel"/>
    <w:tmpl w:val="56CC3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895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652"/>
    <w:rsid w:val="00043CC3"/>
    <w:rsid w:val="000A61A0"/>
    <w:rsid w:val="00122135"/>
    <w:rsid w:val="001E6DED"/>
    <w:rsid w:val="00250652"/>
    <w:rsid w:val="002B4734"/>
    <w:rsid w:val="002C24F8"/>
    <w:rsid w:val="004F3AE2"/>
    <w:rsid w:val="008B7306"/>
    <w:rsid w:val="008C017D"/>
    <w:rsid w:val="00993291"/>
    <w:rsid w:val="00A30D30"/>
    <w:rsid w:val="00EC4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9898A"/>
  <w15:chartTrackingRefBased/>
  <w15:docId w15:val="{BC8A82F4-5BD6-455D-BB8D-91371A065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652"/>
    <w:pPr>
      <w:spacing w:line="278" w:lineRule="auto"/>
    </w:pPr>
    <w:rPr>
      <w:sz w:val="24"/>
      <w:szCs w:val="24"/>
      <w:lang w:val="es-AR"/>
    </w:rPr>
  </w:style>
  <w:style w:type="paragraph" w:styleId="Heading1">
    <w:name w:val="heading 1"/>
    <w:basedOn w:val="Normal"/>
    <w:next w:val="Normal"/>
    <w:link w:val="Heading1Char"/>
    <w:uiPriority w:val="9"/>
    <w:qFormat/>
    <w:rsid w:val="002506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06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06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06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06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06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06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06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06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6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06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06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06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06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06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06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06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0652"/>
    <w:rPr>
      <w:rFonts w:eastAsiaTheme="majorEastAsia" w:cstheme="majorBidi"/>
      <w:color w:val="272727" w:themeColor="text1" w:themeTint="D8"/>
    </w:rPr>
  </w:style>
  <w:style w:type="paragraph" w:styleId="Title">
    <w:name w:val="Title"/>
    <w:basedOn w:val="Normal"/>
    <w:next w:val="Normal"/>
    <w:link w:val="TitleChar"/>
    <w:uiPriority w:val="10"/>
    <w:qFormat/>
    <w:rsid w:val="002506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6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06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06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0652"/>
    <w:pPr>
      <w:spacing w:before="160"/>
      <w:jc w:val="center"/>
    </w:pPr>
    <w:rPr>
      <w:i/>
      <w:iCs/>
      <w:color w:val="404040" w:themeColor="text1" w:themeTint="BF"/>
    </w:rPr>
  </w:style>
  <w:style w:type="character" w:customStyle="1" w:styleId="QuoteChar">
    <w:name w:val="Quote Char"/>
    <w:basedOn w:val="DefaultParagraphFont"/>
    <w:link w:val="Quote"/>
    <w:uiPriority w:val="29"/>
    <w:rsid w:val="00250652"/>
    <w:rPr>
      <w:i/>
      <w:iCs/>
      <w:color w:val="404040" w:themeColor="text1" w:themeTint="BF"/>
    </w:rPr>
  </w:style>
  <w:style w:type="paragraph" w:styleId="ListParagraph">
    <w:name w:val="List Paragraph"/>
    <w:basedOn w:val="Normal"/>
    <w:uiPriority w:val="34"/>
    <w:qFormat/>
    <w:rsid w:val="00250652"/>
    <w:pPr>
      <w:ind w:left="720"/>
      <w:contextualSpacing/>
    </w:pPr>
  </w:style>
  <w:style w:type="character" w:styleId="IntenseEmphasis">
    <w:name w:val="Intense Emphasis"/>
    <w:basedOn w:val="DefaultParagraphFont"/>
    <w:uiPriority w:val="21"/>
    <w:qFormat/>
    <w:rsid w:val="00250652"/>
    <w:rPr>
      <w:i/>
      <w:iCs/>
      <w:color w:val="0F4761" w:themeColor="accent1" w:themeShade="BF"/>
    </w:rPr>
  </w:style>
  <w:style w:type="paragraph" w:styleId="IntenseQuote">
    <w:name w:val="Intense Quote"/>
    <w:basedOn w:val="Normal"/>
    <w:next w:val="Normal"/>
    <w:link w:val="IntenseQuoteChar"/>
    <w:uiPriority w:val="30"/>
    <w:qFormat/>
    <w:rsid w:val="002506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0652"/>
    <w:rPr>
      <w:i/>
      <w:iCs/>
      <w:color w:val="0F4761" w:themeColor="accent1" w:themeShade="BF"/>
    </w:rPr>
  </w:style>
  <w:style w:type="character" w:styleId="IntenseReference">
    <w:name w:val="Intense Reference"/>
    <w:basedOn w:val="DefaultParagraphFont"/>
    <w:uiPriority w:val="32"/>
    <w:qFormat/>
    <w:rsid w:val="00250652"/>
    <w:rPr>
      <w:b/>
      <w:bCs/>
      <w:smallCaps/>
      <w:color w:val="0F4761" w:themeColor="accent1" w:themeShade="BF"/>
      <w:spacing w:val="5"/>
    </w:rPr>
  </w:style>
  <w:style w:type="table" w:styleId="TableGrid">
    <w:name w:val="Table Grid"/>
    <w:basedOn w:val="TableNormal"/>
    <w:uiPriority w:val="39"/>
    <w:rsid w:val="00250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950986">
      <w:bodyDiv w:val="1"/>
      <w:marLeft w:val="0"/>
      <w:marRight w:val="0"/>
      <w:marTop w:val="0"/>
      <w:marBottom w:val="0"/>
      <w:divBdr>
        <w:top w:val="none" w:sz="0" w:space="0" w:color="auto"/>
        <w:left w:val="none" w:sz="0" w:space="0" w:color="auto"/>
        <w:bottom w:val="none" w:sz="0" w:space="0" w:color="auto"/>
        <w:right w:val="none" w:sz="0" w:space="0" w:color="auto"/>
      </w:divBdr>
    </w:div>
    <w:div w:id="576205208">
      <w:bodyDiv w:val="1"/>
      <w:marLeft w:val="0"/>
      <w:marRight w:val="0"/>
      <w:marTop w:val="0"/>
      <w:marBottom w:val="0"/>
      <w:divBdr>
        <w:top w:val="none" w:sz="0" w:space="0" w:color="auto"/>
        <w:left w:val="none" w:sz="0" w:space="0" w:color="auto"/>
        <w:bottom w:val="none" w:sz="0" w:space="0" w:color="auto"/>
        <w:right w:val="none" w:sz="0" w:space="0" w:color="auto"/>
      </w:divBdr>
    </w:div>
    <w:div w:id="1276474364">
      <w:bodyDiv w:val="1"/>
      <w:marLeft w:val="0"/>
      <w:marRight w:val="0"/>
      <w:marTop w:val="0"/>
      <w:marBottom w:val="0"/>
      <w:divBdr>
        <w:top w:val="none" w:sz="0" w:space="0" w:color="auto"/>
        <w:left w:val="none" w:sz="0" w:space="0" w:color="auto"/>
        <w:bottom w:val="none" w:sz="0" w:space="0" w:color="auto"/>
        <w:right w:val="none" w:sz="0" w:space="0" w:color="auto"/>
      </w:divBdr>
    </w:div>
    <w:div w:id="205422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3</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Deluca</dc:creator>
  <cp:keywords/>
  <dc:description/>
  <cp:lastModifiedBy>Francisco Deluca</cp:lastModifiedBy>
  <cp:revision>6</cp:revision>
  <dcterms:created xsi:type="dcterms:W3CDTF">2024-10-24T21:35:00Z</dcterms:created>
  <dcterms:modified xsi:type="dcterms:W3CDTF">2024-10-25T01:02:00Z</dcterms:modified>
</cp:coreProperties>
</file>