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F63C" w14:textId="77777777" w:rsidR="576062CF" w:rsidRPr="005377F3" w:rsidRDefault="576062CF" w:rsidP="00FD478C"/>
    <w:p w14:paraId="7D613A34" w14:textId="77777777" w:rsidR="576062CF" w:rsidRPr="005377F3" w:rsidRDefault="576062CF" w:rsidP="00FD478C"/>
    <w:p w14:paraId="1602D800" w14:textId="77777777" w:rsidR="576062CF" w:rsidRPr="005377F3" w:rsidRDefault="576062CF" w:rsidP="00FD478C"/>
    <w:p w14:paraId="06253C43" w14:textId="77777777" w:rsidR="576062CF" w:rsidRPr="005377F3" w:rsidRDefault="576062CF" w:rsidP="00FD478C">
      <w:pPr>
        <w:rPr>
          <w:b/>
          <w:bCs/>
          <w:sz w:val="28"/>
          <w:szCs w:val="28"/>
        </w:rPr>
      </w:pPr>
    </w:p>
    <w:p w14:paraId="5D859C06" w14:textId="524B3C1D" w:rsidR="576062CF" w:rsidRPr="005377F3" w:rsidRDefault="00661DD8" w:rsidP="00E264C2">
      <w:pPr>
        <w:pStyle w:val="Title"/>
      </w:pPr>
      <w:r w:rsidRPr="005377F3">
        <w:rPr>
          <w:sz w:val="28"/>
          <w:szCs w:val="28"/>
        </w:rPr>
        <w:t xml:space="preserve">Adaptive Group Normalization: Leveraging Group Normalization in </w:t>
      </w:r>
      <w:r w:rsidRPr="005377F3">
        <w:rPr>
          <w:sz w:val="28"/>
          <w:szCs w:val="28"/>
        </w:rPr>
        <w:br/>
        <w:t>Deep Learning Architectures using adaptive method</w:t>
      </w:r>
      <w:r w:rsidR="00D775E1" w:rsidRPr="005377F3">
        <w:rPr>
          <w:sz w:val="28"/>
          <w:szCs w:val="28"/>
        </w:rPr>
        <w:t>s</w:t>
      </w:r>
      <w:r w:rsidRPr="005377F3">
        <w:rPr>
          <w:sz w:val="28"/>
          <w:szCs w:val="28"/>
        </w:rPr>
        <w:t>.</w:t>
      </w:r>
      <w:r w:rsidRPr="005377F3">
        <w:rPr>
          <w:rFonts w:ascii="Segoe UI" w:hAnsi="Segoe UI" w:cs="Segoe UI"/>
          <w:color w:val="374151"/>
          <w:shd w:val="clear" w:color="auto" w:fill="F7F7F8"/>
        </w:rPr>
        <w:br/>
      </w:r>
      <w:r w:rsidR="00E264C2" w:rsidRPr="005377F3">
        <w:rPr>
          <w:b w:val="0"/>
          <w:bCs w:val="0"/>
        </w:rPr>
        <w:t>Future Research Endeavor</w:t>
      </w:r>
    </w:p>
    <w:p w14:paraId="69BF692B" w14:textId="01F0E356" w:rsidR="576062CF" w:rsidRPr="005377F3" w:rsidRDefault="00661DD8" w:rsidP="00FD478C">
      <w:pPr>
        <w:pStyle w:val="Subtitle"/>
      </w:pPr>
      <w:r w:rsidRPr="005377F3">
        <w:t>Yair Smadar and Dr. Assaf Hoogi</w:t>
      </w:r>
    </w:p>
    <w:p w14:paraId="6F329266" w14:textId="652039D2" w:rsidR="00FD478C" w:rsidRPr="005377F3" w:rsidRDefault="00661DD8" w:rsidP="00FD478C">
      <w:pPr>
        <w:pStyle w:val="Subtitle"/>
      </w:pPr>
      <w:r w:rsidRPr="005377F3">
        <w:t>Ariel University</w:t>
      </w:r>
      <w:r w:rsidR="00FD478C" w:rsidRPr="005377F3">
        <w:t xml:space="preserve"> </w:t>
      </w:r>
    </w:p>
    <w:p w14:paraId="795469A1" w14:textId="77777777" w:rsidR="576062CF" w:rsidRPr="005377F3" w:rsidRDefault="576062CF" w:rsidP="00DF3215"/>
    <w:p w14:paraId="36653415" w14:textId="77777777" w:rsidR="717E282B" w:rsidRPr="005377F3" w:rsidRDefault="717E282B" w:rsidP="00DF3215"/>
    <w:p w14:paraId="638BE75D" w14:textId="77777777" w:rsidR="717E282B" w:rsidRPr="005377F3" w:rsidRDefault="717E282B" w:rsidP="00DF3215"/>
    <w:p w14:paraId="0937BD8B" w14:textId="77777777" w:rsidR="717E282B" w:rsidRPr="005377F3" w:rsidRDefault="717E282B" w:rsidP="00DF3215"/>
    <w:p w14:paraId="3A6F4068" w14:textId="77777777" w:rsidR="717E282B" w:rsidRPr="005377F3" w:rsidRDefault="717E282B" w:rsidP="00DF3215"/>
    <w:p w14:paraId="5906B77D" w14:textId="77777777" w:rsidR="709762D6" w:rsidRPr="005377F3" w:rsidRDefault="709762D6" w:rsidP="00DF3215"/>
    <w:p w14:paraId="71BA0ADA" w14:textId="77777777" w:rsidR="709762D6" w:rsidRPr="005377F3" w:rsidRDefault="709762D6" w:rsidP="00DF3215"/>
    <w:p w14:paraId="093F423D" w14:textId="77777777" w:rsidR="717E282B" w:rsidRPr="005377F3" w:rsidRDefault="717E282B" w:rsidP="00DF3215"/>
    <w:p w14:paraId="5ADCC725" w14:textId="77777777" w:rsidR="5643BF48" w:rsidRPr="005377F3" w:rsidRDefault="5643BF48" w:rsidP="00DF3215"/>
    <w:p w14:paraId="62D0BDFE" w14:textId="77777777" w:rsidR="733B038C" w:rsidRPr="005377F3" w:rsidRDefault="733B038C" w:rsidP="00DF3215"/>
    <w:p w14:paraId="7D159428" w14:textId="77777777" w:rsidR="717E282B" w:rsidRPr="005377F3" w:rsidRDefault="717E282B" w:rsidP="00DF3215"/>
    <w:p w14:paraId="6EF957D9" w14:textId="77777777" w:rsidR="005377F3" w:rsidRDefault="005377F3" w:rsidP="005377F3"/>
    <w:p w14:paraId="5B0B39D0" w14:textId="77777777" w:rsidR="005377F3" w:rsidRDefault="005377F3" w:rsidP="005377F3"/>
    <w:p w14:paraId="50B6BC54" w14:textId="77777777" w:rsidR="005377F3" w:rsidRDefault="005377F3" w:rsidP="005377F3"/>
    <w:p w14:paraId="6D9B2601" w14:textId="58B5C796" w:rsidR="576062CF" w:rsidRPr="005377F3" w:rsidRDefault="00FD478C" w:rsidP="005377F3">
      <w:r w:rsidRPr="005377F3">
        <w:lastRenderedPageBreak/>
        <w:t xml:space="preserve"> </w:t>
      </w:r>
    </w:p>
    <w:p w14:paraId="740DDB89" w14:textId="55DC163D" w:rsidR="00904DBE" w:rsidRPr="005377F3" w:rsidRDefault="00D775E1" w:rsidP="00D775E1">
      <w:pPr>
        <w:pStyle w:val="SectionTitle"/>
        <w:jc w:val="left"/>
      </w:pPr>
      <w:r w:rsidRPr="005377F3">
        <w:t xml:space="preserve">1. </w:t>
      </w:r>
      <w:sdt>
        <w:sdtPr>
          <w:id w:val="-1254123792"/>
          <w:placeholder>
            <w:docPart w:val="3677B91B68234C0EA99367224477CA92"/>
          </w:placeholder>
          <w:temporary/>
          <w:showingPlcHdr/>
          <w15:appearance w15:val="hidden"/>
        </w:sdtPr>
        <w:sdtEndPr/>
        <w:sdtContent>
          <w:r w:rsidR="00904DBE" w:rsidRPr="005377F3">
            <w:t>Abstract</w:t>
          </w:r>
        </w:sdtContent>
      </w:sdt>
      <w:r w:rsidR="00904DBE" w:rsidRPr="005377F3">
        <w:t xml:space="preserve"> </w:t>
      </w:r>
    </w:p>
    <w:p w14:paraId="4A29FB88" w14:textId="559C238C" w:rsidR="002B1B90" w:rsidRPr="005377F3" w:rsidRDefault="002B1B90" w:rsidP="002B1B90">
      <w:pPr>
        <w:spacing w:line="360" w:lineRule="auto"/>
        <w:ind w:firstLine="0"/>
      </w:pPr>
      <w:r w:rsidRPr="005377F3">
        <w:t>Deep learning, a subset of machine learning, has seen rapid advancements, substantially driven by improvements in training deep neural networks. One such vital improvement is normalization techniques, with Group Normalization (GN)</w:t>
      </w:r>
      <w:r w:rsidR="002A73B3" w:rsidRPr="005377F3">
        <w:t xml:space="preserve"> [1]</w:t>
      </w:r>
      <w:r w:rsidRPr="005377F3">
        <w:t xml:space="preserve"> emerging as a robust alternative to Batch Normalization (BN) and Layer Normalization (LN). Despite GN's potential, it has some limitations, notably its static grouping of channels, potentially leading to sub-optimal performance in certain scenarios. This research proposal aims to investigate Adaptive Group Normalization (AGN), a novel approach that seeks to optimize GN by adaptively selecting groups of channels that are semantically similar according to their feature representations.</w:t>
      </w:r>
    </w:p>
    <w:p w14:paraId="64B3D319" w14:textId="77777777" w:rsidR="002B1B90" w:rsidRPr="005377F3" w:rsidRDefault="002B1B90" w:rsidP="002B1B90">
      <w:pPr>
        <w:spacing w:line="360" w:lineRule="auto"/>
        <w:ind w:firstLine="0"/>
      </w:pPr>
    </w:p>
    <w:p w14:paraId="70D07A8B" w14:textId="6DED8F5D" w:rsidR="002B1B90" w:rsidRPr="005377F3" w:rsidRDefault="00D775E1" w:rsidP="00D775E1">
      <w:pPr>
        <w:spacing w:line="360" w:lineRule="auto"/>
        <w:ind w:firstLine="0"/>
        <w:rPr>
          <w:b/>
          <w:bCs/>
        </w:rPr>
      </w:pPr>
      <w:r w:rsidRPr="005377F3">
        <w:rPr>
          <w:b/>
          <w:bCs/>
        </w:rPr>
        <w:t xml:space="preserve">2. </w:t>
      </w:r>
      <w:r w:rsidR="002B1B90" w:rsidRPr="005377F3">
        <w:rPr>
          <w:b/>
          <w:bCs/>
        </w:rPr>
        <w:t>Motivation</w:t>
      </w:r>
    </w:p>
    <w:p w14:paraId="3C9934C7" w14:textId="77777777" w:rsidR="002B1B90" w:rsidRPr="005377F3" w:rsidRDefault="002B1B90" w:rsidP="002B1B90">
      <w:pPr>
        <w:spacing w:line="360" w:lineRule="auto"/>
        <w:ind w:firstLine="0"/>
        <w:rPr>
          <w:b/>
          <w:bCs/>
        </w:rPr>
      </w:pPr>
      <w:r w:rsidRPr="005377F3">
        <w:t>The motivation for this research arises from the need to address the limitations of GN, particularly its lack of adaptability in grouping channels. While GN has proven beneficial in scenarios with smaller batch sizes, its fixed group division may not always be ideal for all tasks or network architectures. It is hypothesized that by allowing groups to be formed adaptively based on the closeness in meaning of their feature representations, AGN could offer a more flexible and potentially more efficient approach to normalization. Such an approach could significantly enhance the training of deep neural networks, leading to improved model performance and generalization. Furthermore, given the ubiquity of deep learning applications, advancements in normalization techniques could have wide-ranging impacts across many domains, including computer vision, natural language processing, and beyond</w:t>
      </w:r>
      <w:r w:rsidRPr="005377F3">
        <w:rPr>
          <w:b/>
          <w:bCs/>
        </w:rPr>
        <w:t>.</w:t>
      </w:r>
    </w:p>
    <w:p w14:paraId="48137931" w14:textId="03CB5F0F" w:rsidR="002B1B90" w:rsidRPr="005377F3" w:rsidRDefault="002B1B90" w:rsidP="002B1B90">
      <w:pPr>
        <w:spacing w:line="360" w:lineRule="auto"/>
        <w:ind w:firstLine="0"/>
        <w:rPr>
          <w:b/>
          <w:bCs/>
        </w:rPr>
      </w:pPr>
    </w:p>
    <w:p w14:paraId="2C0A6CEF" w14:textId="2701E64A" w:rsidR="005377F3" w:rsidRPr="005377F3" w:rsidRDefault="005377F3" w:rsidP="002B1B90">
      <w:pPr>
        <w:spacing w:line="360" w:lineRule="auto"/>
        <w:ind w:firstLine="0"/>
        <w:rPr>
          <w:b/>
          <w:bCs/>
        </w:rPr>
      </w:pPr>
    </w:p>
    <w:p w14:paraId="0EEC7A14" w14:textId="211418E6" w:rsidR="005377F3" w:rsidRPr="005377F3" w:rsidRDefault="005377F3" w:rsidP="002B1B90">
      <w:pPr>
        <w:spacing w:line="360" w:lineRule="auto"/>
        <w:ind w:firstLine="0"/>
        <w:rPr>
          <w:b/>
          <w:bCs/>
        </w:rPr>
      </w:pPr>
    </w:p>
    <w:p w14:paraId="1B0BFBE9" w14:textId="35CBD0A5" w:rsidR="005377F3" w:rsidRPr="005377F3" w:rsidRDefault="005377F3" w:rsidP="002B1B90">
      <w:pPr>
        <w:spacing w:line="360" w:lineRule="auto"/>
        <w:ind w:firstLine="0"/>
        <w:rPr>
          <w:b/>
          <w:bCs/>
        </w:rPr>
      </w:pPr>
    </w:p>
    <w:p w14:paraId="671009DA" w14:textId="33A9778B" w:rsidR="005377F3" w:rsidRDefault="005377F3" w:rsidP="002B1B90">
      <w:pPr>
        <w:spacing w:line="360" w:lineRule="auto"/>
        <w:ind w:firstLine="0"/>
        <w:rPr>
          <w:b/>
          <w:bCs/>
        </w:rPr>
      </w:pPr>
    </w:p>
    <w:p w14:paraId="075BD81B" w14:textId="697E37A8" w:rsidR="005377F3" w:rsidRDefault="005377F3" w:rsidP="002B1B90">
      <w:pPr>
        <w:spacing w:line="360" w:lineRule="auto"/>
        <w:ind w:firstLine="0"/>
        <w:rPr>
          <w:b/>
          <w:bCs/>
        </w:rPr>
      </w:pPr>
    </w:p>
    <w:p w14:paraId="2A2A1C8C" w14:textId="2C95EBA5" w:rsidR="005377F3" w:rsidRDefault="005377F3" w:rsidP="002B1B90">
      <w:pPr>
        <w:spacing w:line="360" w:lineRule="auto"/>
        <w:ind w:firstLine="0"/>
        <w:rPr>
          <w:b/>
          <w:bCs/>
        </w:rPr>
      </w:pPr>
    </w:p>
    <w:p w14:paraId="0E7DE90B" w14:textId="0F620525" w:rsidR="005377F3" w:rsidRDefault="005377F3" w:rsidP="002B1B90">
      <w:pPr>
        <w:spacing w:line="360" w:lineRule="auto"/>
        <w:ind w:firstLine="0"/>
        <w:rPr>
          <w:b/>
          <w:bCs/>
        </w:rPr>
      </w:pPr>
    </w:p>
    <w:p w14:paraId="3E6C0E1F" w14:textId="52667F25" w:rsidR="005377F3" w:rsidRDefault="005377F3" w:rsidP="002B1B90">
      <w:pPr>
        <w:spacing w:line="360" w:lineRule="auto"/>
        <w:ind w:firstLine="0"/>
        <w:rPr>
          <w:b/>
          <w:bCs/>
        </w:rPr>
      </w:pPr>
    </w:p>
    <w:p w14:paraId="34EC8E24" w14:textId="77777777" w:rsidR="005377F3" w:rsidRPr="005377F3" w:rsidRDefault="005377F3" w:rsidP="00D775E1">
      <w:pPr>
        <w:spacing w:line="360" w:lineRule="auto"/>
        <w:ind w:firstLine="0"/>
        <w:rPr>
          <w:b/>
          <w:bCs/>
        </w:rPr>
      </w:pPr>
    </w:p>
    <w:p w14:paraId="25FEB0E0" w14:textId="454CF8AB" w:rsidR="002B1B90" w:rsidRPr="005377F3" w:rsidRDefault="00D775E1" w:rsidP="00D775E1">
      <w:pPr>
        <w:spacing w:line="360" w:lineRule="auto"/>
        <w:ind w:firstLine="0"/>
        <w:rPr>
          <w:b/>
          <w:bCs/>
        </w:rPr>
      </w:pPr>
      <w:r w:rsidRPr="005377F3">
        <w:rPr>
          <w:b/>
          <w:bCs/>
        </w:rPr>
        <w:lastRenderedPageBreak/>
        <w:t xml:space="preserve">3. </w:t>
      </w:r>
      <w:r w:rsidR="002B1B90" w:rsidRPr="005377F3">
        <w:rPr>
          <w:b/>
          <w:bCs/>
        </w:rPr>
        <w:t>Proposed Methodology:</w:t>
      </w:r>
    </w:p>
    <w:p w14:paraId="6F290AAF" w14:textId="072EF76F" w:rsidR="005377F3" w:rsidRPr="005377F3" w:rsidRDefault="005377F3" w:rsidP="005377F3">
      <w:pPr>
        <w:spacing w:line="360" w:lineRule="auto"/>
        <w:ind w:firstLine="0"/>
        <w:rPr>
          <w:lang w:val="en-IL"/>
        </w:rPr>
      </w:pPr>
      <w:r w:rsidRPr="005377F3">
        <w:rPr>
          <w:lang w:val="en-IL"/>
        </w:rPr>
        <w:t xml:space="preserve">Our proposed research methodology involves a novel algorithm for implementing Adaptive Group Normalization (AGN). This algorithm enhances Group Normalization by adaptively selecting channels that are semantically similar based on their feature representations. </w:t>
      </w:r>
      <w:r w:rsidR="00293164">
        <w:rPr>
          <w:lang w:val="en-IL"/>
        </w:rPr>
        <w:br/>
      </w:r>
      <w:r w:rsidRPr="005377F3">
        <w:rPr>
          <w:lang w:val="en-IL"/>
        </w:rPr>
        <w:t>The algorithm follows these steps:</w:t>
      </w:r>
    </w:p>
    <w:p w14:paraId="148BC693" w14:textId="77777777" w:rsidR="005377F3" w:rsidRPr="005377F3" w:rsidRDefault="005377F3" w:rsidP="005377F3">
      <w:pPr>
        <w:numPr>
          <w:ilvl w:val="0"/>
          <w:numId w:val="1"/>
        </w:numPr>
        <w:spacing w:line="360" w:lineRule="auto"/>
        <w:rPr>
          <w:lang w:val="en-IL"/>
        </w:rPr>
      </w:pPr>
      <w:r w:rsidRPr="005377F3">
        <w:rPr>
          <w:b/>
          <w:bCs/>
          <w:lang w:val="en-IL"/>
        </w:rPr>
        <w:t>Channel Statistics Calculation:</w:t>
      </w:r>
      <w:r w:rsidRPr="005377F3">
        <w:rPr>
          <w:lang w:val="en-IL"/>
        </w:rPr>
        <w:t xml:space="preserve"> For every channel in the batch, calculate the mean and variance. These statistics represent the primary attributes of each channel's feature distribution.</w:t>
      </w:r>
    </w:p>
    <w:p w14:paraId="514DB790" w14:textId="77777777" w:rsidR="005377F3" w:rsidRPr="005377F3" w:rsidRDefault="005377F3" w:rsidP="005377F3">
      <w:pPr>
        <w:numPr>
          <w:ilvl w:val="0"/>
          <w:numId w:val="1"/>
        </w:numPr>
        <w:spacing w:line="360" w:lineRule="auto"/>
        <w:rPr>
          <w:lang w:val="en-IL"/>
        </w:rPr>
      </w:pPr>
      <w:r w:rsidRPr="005377F3">
        <w:rPr>
          <w:b/>
          <w:bCs/>
          <w:lang w:val="en-IL"/>
        </w:rPr>
        <w:t>Harmonic Mean Computation:</w:t>
      </w:r>
      <w:r w:rsidRPr="005377F3">
        <w:rPr>
          <w:lang w:val="en-IL"/>
        </w:rPr>
        <w:t xml:space="preserve"> Compute the harmonic mean of the derived mean and variance for each channel. The harmonic mean, compared to other types of averages, gives a more robust measure that emphasizes the interdependence of the mean and variance.</w:t>
      </w:r>
    </w:p>
    <w:p w14:paraId="2D87F810" w14:textId="5509BE0F" w:rsidR="005377F3" w:rsidRPr="005377F3" w:rsidRDefault="005377F3" w:rsidP="005377F3">
      <w:pPr>
        <w:numPr>
          <w:ilvl w:val="0"/>
          <w:numId w:val="1"/>
        </w:numPr>
        <w:spacing w:line="360" w:lineRule="auto"/>
        <w:rPr>
          <w:lang w:val="en-IL"/>
        </w:rPr>
      </w:pPr>
      <w:r w:rsidRPr="005377F3">
        <w:rPr>
          <w:b/>
          <w:bCs/>
          <w:lang w:val="en-IL"/>
        </w:rPr>
        <w:t>Histogram Creation and Group Division:</w:t>
      </w:r>
      <w:r w:rsidRPr="005377F3">
        <w:rPr>
          <w:lang w:val="en-IL"/>
        </w:rPr>
        <w:t xml:space="preserve"> Arrange the computed harmonic means in a histogram. This visualization provides a clearer picture of the distribution of the channels feature representations. Following this, divide the histogram into distinct groups. The division of these groups will define the channel order for Group Normalization. This step essentially groups channels that are close in their variance and mean, under the hypothesis that these channels are likely to be semantically similar.</w:t>
      </w:r>
    </w:p>
    <w:p w14:paraId="5444551A" w14:textId="6003154D" w:rsidR="005377F3" w:rsidRPr="005377F3" w:rsidRDefault="005377F3" w:rsidP="005377F3">
      <w:pPr>
        <w:numPr>
          <w:ilvl w:val="0"/>
          <w:numId w:val="1"/>
        </w:numPr>
        <w:spacing w:line="360" w:lineRule="auto"/>
        <w:rPr>
          <w:lang w:val="en-IL"/>
        </w:rPr>
      </w:pPr>
      <w:r w:rsidRPr="005377F3">
        <w:rPr>
          <w:b/>
          <w:bCs/>
          <w:lang w:val="en-IL"/>
        </w:rPr>
        <w:t>Channel Rearrangement:</w:t>
      </w:r>
      <w:r w:rsidRPr="005377F3">
        <w:rPr>
          <w:lang w:val="en-IL"/>
        </w:rPr>
        <w:t xml:space="preserve"> After the group normalization process, rearrange the channels back to their original order. This step ensures that the original structure of the data is preserved for subsequent layers in the network.</w:t>
      </w:r>
    </w:p>
    <w:p w14:paraId="24F8573E" w14:textId="77777777" w:rsidR="005377F3" w:rsidRPr="005377F3" w:rsidRDefault="005377F3" w:rsidP="005377F3">
      <w:pPr>
        <w:pStyle w:val="ListParagraph"/>
        <w:numPr>
          <w:ilvl w:val="0"/>
          <w:numId w:val="1"/>
        </w:numPr>
        <w:spacing w:line="360" w:lineRule="auto"/>
        <w:rPr>
          <w:lang w:val="en-IL"/>
        </w:rPr>
      </w:pPr>
      <w:r w:rsidRPr="005377F3">
        <w:rPr>
          <w:b/>
          <w:bCs/>
          <w:lang w:val="en-IL"/>
        </w:rPr>
        <w:t>Periodic Channel Mixing and Regular Re-mixing:</w:t>
      </w:r>
      <w:r w:rsidRPr="005377F3">
        <w:rPr>
          <w:lang w:val="en-IL"/>
        </w:rPr>
        <w:t xml:space="preserve"> Perform the channel mixing process every few epochs, initially only for the first batch, while maintaining the mixing order for the subsequent batches. As the weights of the network converge over time, perform additional re-mixing to adapt to potential changes in the feature representations.</w:t>
      </w:r>
    </w:p>
    <w:p w14:paraId="71550A6E" w14:textId="77777777" w:rsidR="005377F3" w:rsidRPr="005377F3" w:rsidRDefault="005377F3" w:rsidP="005377F3">
      <w:pPr>
        <w:spacing w:line="360" w:lineRule="auto"/>
        <w:ind w:left="720" w:firstLine="0"/>
        <w:rPr>
          <w:lang w:val="en-IL"/>
        </w:rPr>
      </w:pPr>
    </w:p>
    <w:p w14:paraId="027FC2F9" w14:textId="417D20A4" w:rsidR="005377F3" w:rsidRPr="005377F3" w:rsidRDefault="005377F3" w:rsidP="005377F3">
      <w:pPr>
        <w:spacing w:line="360" w:lineRule="auto"/>
        <w:ind w:firstLine="0"/>
        <w:rPr>
          <w:lang w:val="en-IL"/>
        </w:rPr>
      </w:pPr>
      <w:r w:rsidRPr="005377F3">
        <w:rPr>
          <w:lang w:val="en-IL"/>
        </w:rPr>
        <w:t xml:space="preserve">This methodology offers a systematic approach to </w:t>
      </w:r>
      <w:r w:rsidR="00293164" w:rsidRPr="00293164">
        <w:rPr>
          <w:lang w:val="en-IL"/>
        </w:rPr>
        <w:t xml:space="preserve">implementing </w:t>
      </w:r>
      <w:r w:rsidRPr="005377F3">
        <w:rPr>
          <w:lang w:val="en-IL"/>
        </w:rPr>
        <w:t>AGN, providing a more adaptive and potentially efficient alternative to conventional normalization techniques. It will be thoroughly evaluated through a series of experiments on various deep learning tasks and network architectures, with the results expected to shed light on the effectiveness and practical implications of AGN.</w:t>
      </w:r>
    </w:p>
    <w:p w14:paraId="799C53F4" w14:textId="79472117" w:rsidR="002B1B90" w:rsidRPr="005377F3" w:rsidRDefault="002B1B90" w:rsidP="005377F3">
      <w:pPr>
        <w:spacing w:line="360" w:lineRule="auto"/>
        <w:ind w:firstLine="0"/>
        <w:rPr>
          <w:lang w:val="en-IL"/>
        </w:rPr>
      </w:pPr>
    </w:p>
    <w:p w14:paraId="38CD5782" w14:textId="38A2DC49" w:rsidR="005377F3" w:rsidRPr="005377F3" w:rsidRDefault="005377F3" w:rsidP="005377F3">
      <w:pPr>
        <w:spacing w:line="360" w:lineRule="auto"/>
        <w:ind w:firstLine="0"/>
        <w:rPr>
          <w:lang w:val="en-IL"/>
        </w:rPr>
      </w:pPr>
    </w:p>
    <w:p w14:paraId="5AE9AFFD" w14:textId="52116416" w:rsidR="005377F3" w:rsidRPr="005377F3" w:rsidRDefault="005377F3" w:rsidP="005377F3">
      <w:pPr>
        <w:spacing w:line="360" w:lineRule="auto"/>
        <w:ind w:firstLine="0"/>
        <w:rPr>
          <w:lang w:val="en-IL"/>
        </w:rPr>
      </w:pPr>
    </w:p>
    <w:p w14:paraId="1EDF9E5F" w14:textId="77777777" w:rsidR="005377F3" w:rsidRPr="005377F3" w:rsidRDefault="005377F3" w:rsidP="005377F3">
      <w:pPr>
        <w:spacing w:line="360" w:lineRule="auto"/>
        <w:ind w:firstLine="0"/>
      </w:pPr>
    </w:p>
    <w:p w14:paraId="3349B02E" w14:textId="655A8674" w:rsidR="00D775E1" w:rsidRPr="005377F3" w:rsidRDefault="00D775E1" w:rsidP="00F857FE">
      <w:pPr>
        <w:pStyle w:val="CaptionCallout"/>
        <w:spacing w:line="360" w:lineRule="auto"/>
      </w:pPr>
      <w:r w:rsidRPr="005377F3">
        <w:lastRenderedPageBreak/>
        <w:t xml:space="preserve">4. </w:t>
      </w:r>
      <w:r w:rsidR="002B1B90" w:rsidRPr="005377F3">
        <w:t>Results</w:t>
      </w:r>
      <w:r w:rsidR="002B1B90" w:rsidRPr="005377F3">
        <w:rPr>
          <w:b w:val="0"/>
          <w:bCs/>
        </w:rPr>
        <w:br/>
      </w:r>
      <w:r w:rsidR="00F857FE" w:rsidRPr="005377F3">
        <w:rPr>
          <w:b w:val="0"/>
          <w:bCs/>
        </w:rPr>
        <w:t>In Table 1, we present the empirical findings of our comparison between AGN and GN on the ResNet-50 architecture using the CIFAR-100 dataset. The table clearly delineates the superior performance of AGN across several key metrics. These findings validate our hypothesis about the efficacy of AGN, as it consistently outperformed GN across all tested parameters.</w:t>
      </w:r>
      <w:r w:rsidR="00F857FE" w:rsidRPr="005377F3">
        <w:rPr>
          <w:b w:val="0"/>
          <w:bCs/>
        </w:rPr>
        <w:br/>
      </w:r>
      <w:r w:rsidRPr="005377F3">
        <w:br/>
      </w:r>
      <w:sdt>
        <w:sdtPr>
          <w:id w:val="-1132940838"/>
          <w:placeholder>
            <w:docPart w:val="5A66A89F2E6843D5865E0E68A34D911A"/>
          </w:placeholder>
          <w:temporary/>
          <w:showingPlcHdr/>
          <w15:appearance w15:val="hidden"/>
        </w:sdtPr>
        <w:sdtEndPr/>
        <w:sdtContent>
          <w:r w:rsidRPr="005377F3">
            <w:t>Table 1</w:t>
          </w:r>
        </w:sdtContent>
      </w:sdt>
      <w:r w:rsidRPr="005377F3">
        <w:t xml:space="preserve"> </w:t>
      </w:r>
    </w:p>
    <w:p w14:paraId="2CF8B3B9" w14:textId="603A7825" w:rsidR="00D775E1" w:rsidRPr="005377F3" w:rsidRDefault="00307F07" w:rsidP="00D775E1">
      <w:pPr>
        <w:pStyle w:val="Caption"/>
      </w:pPr>
      <w:r>
        <w:rPr>
          <w:noProof/>
        </w:rPr>
        <w:drawing>
          <wp:anchor distT="0" distB="0" distL="114300" distR="114300" simplePos="0" relativeHeight="251658240" behindDoc="0" locked="0" layoutInCell="1" allowOverlap="1" wp14:anchorId="0FDDCD22" wp14:editId="7754E784">
            <wp:simplePos x="0" y="0"/>
            <wp:positionH relativeFrom="margin">
              <wp:align>left</wp:align>
            </wp:positionH>
            <wp:positionV relativeFrom="paragraph">
              <wp:posOffset>1511300</wp:posOffset>
            </wp:positionV>
            <wp:extent cx="6311900" cy="3962400"/>
            <wp:effectExtent l="19050" t="19050" r="12700"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1900" cy="3962400"/>
                    </a:xfrm>
                    <a:prstGeom prst="rect">
                      <a:avLst/>
                    </a:prstGeom>
                    <a:noFill/>
                    <a:ln>
                      <a:solidFill>
                        <a:schemeClr val="tx1">
                          <a:alpha val="97000"/>
                        </a:schemeClr>
                      </a:solidFill>
                    </a:ln>
                  </pic:spPr>
                </pic:pic>
              </a:graphicData>
            </a:graphic>
            <wp14:sizeRelH relativeFrom="margin">
              <wp14:pctWidth>0</wp14:pctWidth>
            </wp14:sizeRelH>
            <wp14:sizeRelV relativeFrom="margin">
              <wp14:pctHeight>0</wp14:pctHeight>
            </wp14:sizeRelV>
          </wp:anchor>
        </w:drawing>
      </w:r>
      <w:r w:rsidR="00D775E1" w:rsidRPr="005377F3">
        <w:t>AGN vs G</w:t>
      </w:r>
      <w:r w:rsidR="002A73B3" w:rsidRPr="005377F3">
        <w:t>N</w:t>
      </w:r>
    </w:p>
    <w:tbl>
      <w:tblPr>
        <w:tblW w:w="9950" w:type="dxa"/>
        <w:tblLayout w:type="fixed"/>
        <w:tblLook w:val="0600" w:firstRow="0" w:lastRow="0" w:firstColumn="0" w:lastColumn="0" w:noHBand="1" w:noVBand="1"/>
        <w:tblDescription w:val="Table"/>
      </w:tblPr>
      <w:tblGrid>
        <w:gridCol w:w="1990"/>
        <w:gridCol w:w="1990"/>
        <w:gridCol w:w="1990"/>
        <w:gridCol w:w="1990"/>
        <w:gridCol w:w="1990"/>
      </w:tblGrid>
      <w:tr w:rsidR="00D775E1" w:rsidRPr="005377F3" w14:paraId="440DD890" w14:textId="77777777" w:rsidTr="00307F07">
        <w:trPr>
          <w:trHeight w:val="443"/>
        </w:trPr>
        <w:tc>
          <w:tcPr>
            <w:tcW w:w="1990" w:type="dxa"/>
            <w:tcBorders>
              <w:top w:val="single" w:sz="12" w:space="0" w:color="auto"/>
              <w:bottom w:val="single" w:sz="12" w:space="0" w:color="auto"/>
            </w:tcBorders>
          </w:tcPr>
          <w:p w14:paraId="5C137FF8" w14:textId="25224260" w:rsidR="00D775E1" w:rsidRPr="005377F3" w:rsidRDefault="00D775E1" w:rsidP="000016D4">
            <w:pPr>
              <w:pStyle w:val="NoIndent"/>
            </w:pPr>
            <w:r w:rsidRPr="005377F3">
              <w:t>Method</w:t>
            </w:r>
          </w:p>
        </w:tc>
        <w:tc>
          <w:tcPr>
            <w:tcW w:w="1990" w:type="dxa"/>
            <w:tcBorders>
              <w:top w:val="single" w:sz="12" w:space="0" w:color="auto"/>
              <w:bottom w:val="single" w:sz="12" w:space="0" w:color="auto"/>
            </w:tcBorders>
          </w:tcPr>
          <w:p w14:paraId="73213D09" w14:textId="0E50403F" w:rsidR="00D775E1" w:rsidRPr="005377F3" w:rsidRDefault="00D775E1" w:rsidP="000016D4">
            <w:pPr>
              <w:pStyle w:val="NoIndent"/>
            </w:pPr>
            <w:r w:rsidRPr="005377F3">
              <w:t>Batch size</w:t>
            </w:r>
          </w:p>
        </w:tc>
        <w:tc>
          <w:tcPr>
            <w:tcW w:w="1990" w:type="dxa"/>
            <w:tcBorders>
              <w:top w:val="single" w:sz="12" w:space="0" w:color="auto"/>
              <w:bottom w:val="single" w:sz="12" w:space="0" w:color="auto"/>
            </w:tcBorders>
          </w:tcPr>
          <w:p w14:paraId="5D2F6A58" w14:textId="17C743C7" w:rsidR="00D775E1" w:rsidRPr="005377F3" w:rsidRDefault="00D775E1" w:rsidP="000016D4">
            <w:pPr>
              <w:pStyle w:val="NoIndent"/>
            </w:pPr>
            <w:r w:rsidRPr="005377F3">
              <w:t>Group size</w:t>
            </w:r>
          </w:p>
        </w:tc>
        <w:tc>
          <w:tcPr>
            <w:tcW w:w="1990" w:type="dxa"/>
            <w:tcBorders>
              <w:top w:val="single" w:sz="12" w:space="0" w:color="auto"/>
              <w:bottom w:val="single" w:sz="12" w:space="0" w:color="auto"/>
            </w:tcBorders>
          </w:tcPr>
          <w:p w14:paraId="7F0F9758" w14:textId="7AC77049" w:rsidR="00D775E1" w:rsidRPr="005377F3" w:rsidRDefault="00D775E1" w:rsidP="000016D4">
            <w:pPr>
              <w:pStyle w:val="NoIndent"/>
            </w:pPr>
            <w:r w:rsidRPr="005377F3">
              <w:t>Max test accuracy</w:t>
            </w:r>
          </w:p>
        </w:tc>
        <w:tc>
          <w:tcPr>
            <w:tcW w:w="1990" w:type="dxa"/>
            <w:tcBorders>
              <w:top w:val="single" w:sz="12" w:space="0" w:color="auto"/>
              <w:bottom w:val="single" w:sz="12" w:space="0" w:color="auto"/>
            </w:tcBorders>
          </w:tcPr>
          <w:p w14:paraId="142E01F5" w14:textId="1FF82391" w:rsidR="00D775E1" w:rsidRPr="005377F3" w:rsidRDefault="00D775E1" w:rsidP="000016D4">
            <w:pPr>
              <w:pStyle w:val="NoIndent"/>
            </w:pPr>
            <w:r w:rsidRPr="005377F3">
              <w:t>Last test accuracy</w:t>
            </w:r>
          </w:p>
        </w:tc>
      </w:tr>
      <w:tr w:rsidR="00D775E1" w:rsidRPr="005377F3" w14:paraId="48A19679" w14:textId="77777777" w:rsidTr="005377F3">
        <w:trPr>
          <w:trHeight w:val="613"/>
        </w:trPr>
        <w:tc>
          <w:tcPr>
            <w:tcW w:w="1990" w:type="dxa"/>
            <w:tcBorders>
              <w:top w:val="single" w:sz="12" w:space="0" w:color="auto"/>
            </w:tcBorders>
          </w:tcPr>
          <w:p w14:paraId="6239EDDE" w14:textId="1F9197A5" w:rsidR="00D775E1" w:rsidRPr="005377F3" w:rsidRDefault="00D775E1" w:rsidP="000016D4">
            <w:pPr>
              <w:pStyle w:val="NoIndent"/>
            </w:pPr>
            <w:r w:rsidRPr="005377F3">
              <w:t>GN</w:t>
            </w:r>
          </w:p>
        </w:tc>
        <w:tc>
          <w:tcPr>
            <w:tcW w:w="1990" w:type="dxa"/>
            <w:tcBorders>
              <w:top w:val="single" w:sz="12" w:space="0" w:color="auto"/>
            </w:tcBorders>
          </w:tcPr>
          <w:p w14:paraId="63674A84" w14:textId="3761AF35" w:rsidR="00D775E1" w:rsidRPr="005377F3" w:rsidRDefault="002A73B3" w:rsidP="000016D4">
            <w:pPr>
              <w:pStyle w:val="NoIndent"/>
            </w:pPr>
            <w:r w:rsidRPr="005377F3">
              <w:t>8</w:t>
            </w:r>
          </w:p>
        </w:tc>
        <w:tc>
          <w:tcPr>
            <w:tcW w:w="1990" w:type="dxa"/>
            <w:tcBorders>
              <w:top w:val="single" w:sz="12" w:space="0" w:color="auto"/>
            </w:tcBorders>
          </w:tcPr>
          <w:p w14:paraId="0CA2A73D" w14:textId="12FEF231" w:rsidR="00D775E1" w:rsidRPr="005377F3" w:rsidRDefault="002A73B3" w:rsidP="000016D4">
            <w:pPr>
              <w:pStyle w:val="NoIndent"/>
            </w:pPr>
            <w:r w:rsidRPr="005377F3">
              <w:t>32</w:t>
            </w:r>
          </w:p>
        </w:tc>
        <w:tc>
          <w:tcPr>
            <w:tcW w:w="1990" w:type="dxa"/>
            <w:tcBorders>
              <w:top w:val="single" w:sz="12" w:space="0" w:color="auto"/>
            </w:tcBorders>
          </w:tcPr>
          <w:p w14:paraId="56F6773F" w14:textId="34F05386" w:rsidR="00D775E1" w:rsidRPr="005377F3" w:rsidRDefault="002A73B3" w:rsidP="000016D4">
            <w:pPr>
              <w:pStyle w:val="NoIndent"/>
            </w:pPr>
            <w:r w:rsidRPr="005377F3">
              <w:t>64.73</w:t>
            </w:r>
          </w:p>
        </w:tc>
        <w:tc>
          <w:tcPr>
            <w:tcW w:w="1990" w:type="dxa"/>
            <w:tcBorders>
              <w:top w:val="single" w:sz="12" w:space="0" w:color="auto"/>
            </w:tcBorders>
          </w:tcPr>
          <w:p w14:paraId="48498C8B" w14:textId="43BF144F" w:rsidR="00D775E1" w:rsidRPr="005377F3" w:rsidRDefault="002A73B3" w:rsidP="000016D4">
            <w:pPr>
              <w:pStyle w:val="NoIndent"/>
            </w:pPr>
            <w:r w:rsidRPr="005377F3">
              <w:t>64.41</w:t>
            </w:r>
          </w:p>
        </w:tc>
      </w:tr>
      <w:tr w:rsidR="00307F07" w:rsidRPr="005377F3" w14:paraId="7D826C6A" w14:textId="77777777" w:rsidTr="005377F3">
        <w:trPr>
          <w:trHeight w:val="585"/>
        </w:trPr>
        <w:tc>
          <w:tcPr>
            <w:tcW w:w="1990" w:type="dxa"/>
          </w:tcPr>
          <w:p w14:paraId="42148233" w14:textId="4A6A23FF" w:rsidR="00307F07" w:rsidRPr="005377F3" w:rsidRDefault="00307F07" w:rsidP="000016D4">
            <w:pPr>
              <w:pStyle w:val="NoIndent"/>
            </w:pPr>
            <w:r w:rsidRPr="005377F3">
              <w:t>AGN</w:t>
            </w:r>
          </w:p>
        </w:tc>
        <w:tc>
          <w:tcPr>
            <w:tcW w:w="1990" w:type="dxa"/>
          </w:tcPr>
          <w:p w14:paraId="27D3A75C" w14:textId="7863578A" w:rsidR="00307F07" w:rsidRPr="005377F3" w:rsidRDefault="00307F07" w:rsidP="000016D4">
            <w:pPr>
              <w:pStyle w:val="NoIndent"/>
            </w:pPr>
            <w:r w:rsidRPr="005377F3">
              <w:t>8</w:t>
            </w:r>
          </w:p>
        </w:tc>
        <w:tc>
          <w:tcPr>
            <w:tcW w:w="1990" w:type="dxa"/>
          </w:tcPr>
          <w:p w14:paraId="7DC83D2C" w14:textId="3B560625" w:rsidR="00307F07" w:rsidRPr="005377F3" w:rsidRDefault="00307F07" w:rsidP="000016D4">
            <w:pPr>
              <w:pStyle w:val="NoIndent"/>
            </w:pPr>
            <w:r w:rsidRPr="005377F3">
              <w:t>32</w:t>
            </w:r>
          </w:p>
        </w:tc>
        <w:tc>
          <w:tcPr>
            <w:tcW w:w="1990" w:type="dxa"/>
          </w:tcPr>
          <w:p w14:paraId="05DFCF80" w14:textId="4046D11C" w:rsidR="00307F07" w:rsidRPr="005377F3" w:rsidRDefault="00307F07" w:rsidP="000016D4">
            <w:pPr>
              <w:pStyle w:val="NoIndent"/>
            </w:pPr>
            <w:r w:rsidRPr="005377F3">
              <w:rPr>
                <w:b/>
                <w:bCs/>
              </w:rPr>
              <w:t>67.82</w:t>
            </w:r>
          </w:p>
        </w:tc>
        <w:tc>
          <w:tcPr>
            <w:tcW w:w="1990" w:type="dxa"/>
          </w:tcPr>
          <w:p w14:paraId="7628278E" w14:textId="288027A8" w:rsidR="00307F07" w:rsidRPr="005377F3" w:rsidRDefault="00307F07" w:rsidP="000016D4">
            <w:pPr>
              <w:pStyle w:val="NoIndent"/>
            </w:pPr>
            <w:r w:rsidRPr="005377F3">
              <w:rPr>
                <w:b/>
                <w:bCs/>
              </w:rPr>
              <w:t>67.56</w:t>
            </w:r>
          </w:p>
        </w:tc>
      </w:tr>
      <w:tr w:rsidR="00307F07" w:rsidRPr="005377F3" w14:paraId="3F4FEE07" w14:textId="77777777" w:rsidTr="00307F07">
        <w:trPr>
          <w:trHeight w:val="60"/>
        </w:trPr>
        <w:tc>
          <w:tcPr>
            <w:tcW w:w="1990" w:type="dxa"/>
            <w:tcBorders>
              <w:bottom w:val="single" w:sz="12" w:space="0" w:color="auto"/>
            </w:tcBorders>
          </w:tcPr>
          <w:p w14:paraId="0F862C33" w14:textId="7A1C119F" w:rsidR="00307F07" w:rsidRPr="005377F3" w:rsidRDefault="00307F07" w:rsidP="000016D4">
            <w:pPr>
              <w:pStyle w:val="NoIndent"/>
            </w:pPr>
          </w:p>
        </w:tc>
        <w:tc>
          <w:tcPr>
            <w:tcW w:w="1990" w:type="dxa"/>
            <w:tcBorders>
              <w:bottom w:val="single" w:sz="12" w:space="0" w:color="auto"/>
            </w:tcBorders>
          </w:tcPr>
          <w:p w14:paraId="295A6696" w14:textId="21DD004B" w:rsidR="00307F07" w:rsidRPr="005377F3" w:rsidRDefault="00307F07" w:rsidP="000016D4">
            <w:pPr>
              <w:pStyle w:val="NoIndent"/>
            </w:pPr>
          </w:p>
        </w:tc>
        <w:tc>
          <w:tcPr>
            <w:tcW w:w="1990" w:type="dxa"/>
            <w:tcBorders>
              <w:bottom w:val="single" w:sz="12" w:space="0" w:color="auto"/>
            </w:tcBorders>
          </w:tcPr>
          <w:p w14:paraId="0C1E5BF7" w14:textId="3660F6B8" w:rsidR="00307F07" w:rsidRPr="005377F3" w:rsidRDefault="00307F07" w:rsidP="000016D4">
            <w:pPr>
              <w:pStyle w:val="NoIndent"/>
            </w:pPr>
          </w:p>
        </w:tc>
        <w:tc>
          <w:tcPr>
            <w:tcW w:w="1990" w:type="dxa"/>
            <w:tcBorders>
              <w:bottom w:val="single" w:sz="12" w:space="0" w:color="auto"/>
            </w:tcBorders>
          </w:tcPr>
          <w:p w14:paraId="03BAD38C" w14:textId="40E5B088" w:rsidR="00307F07" w:rsidRPr="005377F3" w:rsidRDefault="00307F07" w:rsidP="000016D4">
            <w:pPr>
              <w:pStyle w:val="NoIndent"/>
              <w:rPr>
                <w:b/>
                <w:bCs/>
              </w:rPr>
            </w:pPr>
          </w:p>
        </w:tc>
        <w:tc>
          <w:tcPr>
            <w:tcW w:w="1990" w:type="dxa"/>
            <w:tcBorders>
              <w:bottom w:val="single" w:sz="12" w:space="0" w:color="auto"/>
            </w:tcBorders>
          </w:tcPr>
          <w:p w14:paraId="315259E8" w14:textId="46B23A61" w:rsidR="00307F07" w:rsidRPr="005377F3" w:rsidRDefault="00307F07" w:rsidP="000016D4">
            <w:pPr>
              <w:pStyle w:val="NoIndent"/>
              <w:rPr>
                <w:b/>
                <w:bCs/>
              </w:rPr>
            </w:pPr>
          </w:p>
        </w:tc>
      </w:tr>
    </w:tbl>
    <w:p w14:paraId="5FE74161" w14:textId="62C12803" w:rsidR="002B1B90" w:rsidRDefault="002B1B90" w:rsidP="00D775E1">
      <w:pPr>
        <w:spacing w:line="360" w:lineRule="auto"/>
        <w:ind w:firstLine="0"/>
        <w:rPr>
          <w:b/>
          <w:bCs/>
        </w:rPr>
      </w:pPr>
    </w:p>
    <w:p w14:paraId="269B73C9" w14:textId="36950405" w:rsidR="002B1B90" w:rsidRPr="005377F3" w:rsidRDefault="002B1B90" w:rsidP="005377F3">
      <w:pPr>
        <w:spacing w:line="360" w:lineRule="auto"/>
        <w:ind w:firstLine="0"/>
        <w:rPr>
          <w:b/>
          <w:bCs/>
        </w:rPr>
      </w:pPr>
    </w:p>
    <w:p w14:paraId="1CCF8F34" w14:textId="1FCE7247" w:rsidR="005377F3" w:rsidRDefault="005377F3" w:rsidP="00D775E1">
      <w:pPr>
        <w:pStyle w:val="SectionTitle"/>
        <w:jc w:val="left"/>
      </w:pPr>
    </w:p>
    <w:p w14:paraId="29CDF570" w14:textId="02B1208D" w:rsidR="005377F3" w:rsidRDefault="005377F3" w:rsidP="005377F3"/>
    <w:p w14:paraId="0528937F" w14:textId="00AF2637" w:rsidR="005377F3" w:rsidRDefault="005377F3" w:rsidP="005377F3"/>
    <w:p w14:paraId="5A59AC80" w14:textId="79DA3947" w:rsidR="005377F3" w:rsidRDefault="005377F3" w:rsidP="005377F3"/>
    <w:p w14:paraId="2E59A5DD" w14:textId="5E17D01B" w:rsidR="005377F3" w:rsidRDefault="005377F3" w:rsidP="005377F3"/>
    <w:p w14:paraId="52978C5A" w14:textId="6E700E06" w:rsidR="005377F3" w:rsidRDefault="005377F3" w:rsidP="005377F3"/>
    <w:p w14:paraId="5BD6F87C" w14:textId="61079412" w:rsidR="005377F3" w:rsidRDefault="005377F3" w:rsidP="005377F3"/>
    <w:p w14:paraId="3E43D274" w14:textId="77777777" w:rsidR="005377F3" w:rsidRPr="005377F3" w:rsidRDefault="005377F3" w:rsidP="00293164">
      <w:pPr>
        <w:ind w:firstLine="0"/>
      </w:pPr>
    </w:p>
    <w:p w14:paraId="49119E66" w14:textId="77777777" w:rsidR="000F34EA" w:rsidRDefault="000F34EA" w:rsidP="00D775E1">
      <w:pPr>
        <w:pStyle w:val="SectionTitle"/>
        <w:jc w:val="left"/>
      </w:pPr>
    </w:p>
    <w:p w14:paraId="45160E18" w14:textId="77777777" w:rsidR="00307F07" w:rsidRDefault="00307F07" w:rsidP="00D775E1">
      <w:pPr>
        <w:pStyle w:val="SectionTitle"/>
        <w:jc w:val="left"/>
      </w:pPr>
    </w:p>
    <w:p w14:paraId="3D536D49" w14:textId="3C52871C" w:rsidR="576062CF" w:rsidRPr="005377F3" w:rsidRDefault="00D775E1" w:rsidP="00D775E1">
      <w:pPr>
        <w:pStyle w:val="SectionTitle"/>
        <w:jc w:val="left"/>
      </w:pPr>
      <w:r w:rsidRPr="005377F3">
        <w:t xml:space="preserve">5. </w:t>
      </w:r>
      <w:sdt>
        <w:sdtPr>
          <w:id w:val="682713825"/>
          <w:placeholder>
            <w:docPart w:val="98795A5939CD4083B86E58DF8701154E"/>
          </w:placeholder>
          <w:temporary/>
          <w:showingPlcHdr/>
          <w15:appearance w15:val="hidden"/>
        </w:sdtPr>
        <w:sdtEndPr/>
        <w:sdtContent>
          <w:r w:rsidR="00FA4C9E" w:rsidRPr="005377F3">
            <w:t>References</w:t>
          </w:r>
        </w:sdtContent>
      </w:sdt>
      <w:r w:rsidR="576062CF" w:rsidRPr="005377F3">
        <w:t xml:space="preserve"> </w:t>
      </w:r>
    </w:p>
    <w:p w14:paraId="673B825B" w14:textId="6024E925" w:rsidR="576062CF" w:rsidRPr="005377F3" w:rsidRDefault="00D775E1" w:rsidP="005377F3">
      <w:pPr>
        <w:pStyle w:val="References"/>
      </w:pPr>
      <w:r w:rsidRPr="005377F3">
        <w:t xml:space="preserve">[1] </w:t>
      </w:r>
      <w:proofErr w:type="spellStart"/>
      <w:r w:rsidRPr="005377F3">
        <w:t>Yunxin</w:t>
      </w:r>
      <w:proofErr w:type="spellEnd"/>
      <w:r w:rsidRPr="005377F3">
        <w:t xml:space="preserve"> Wu, </w:t>
      </w:r>
      <w:proofErr w:type="spellStart"/>
      <w:r w:rsidRPr="005377F3">
        <w:t>Kaiming</w:t>
      </w:r>
      <w:proofErr w:type="spellEnd"/>
      <w:r w:rsidRPr="005377F3">
        <w:t xml:space="preserve"> He. Facebook AI Research. </w:t>
      </w:r>
      <w:r w:rsidR="002B1B90" w:rsidRPr="005377F3">
        <w:t>Group Normalization</w:t>
      </w:r>
      <w:r w:rsidRPr="005377F3">
        <w:t xml:space="preserve"> </w:t>
      </w:r>
      <w:hyperlink r:id="rId12" w:history="1">
        <w:r w:rsidRPr="005377F3">
          <w:rPr>
            <w:rStyle w:val="Hyperlink"/>
          </w:rPr>
          <w:t>URL</w:t>
        </w:r>
      </w:hyperlink>
    </w:p>
    <w:sectPr w:rsidR="576062CF" w:rsidRPr="005377F3">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E4346" w14:textId="77777777" w:rsidR="00F7210D" w:rsidRDefault="00F7210D">
      <w:pPr>
        <w:spacing w:line="240" w:lineRule="auto"/>
      </w:pPr>
      <w:r>
        <w:separator/>
      </w:r>
    </w:p>
  </w:endnote>
  <w:endnote w:type="continuationSeparator" w:id="0">
    <w:p w14:paraId="16B0CF92" w14:textId="77777777" w:rsidR="00F7210D" w:rsidRDefault="00F7210D">
      <w:pPr>
        <w:spacing w:line="240" w:lineRule="auto"/>
      </w:pPr>
      <w:r>
        <w:continuationSeparator/>
      </w:r>
    </w:p>
  </w:endnote>
  <w:endnote w:type="continuationNotice" w:id="1">
    <w:p w14:paraId="6408BC38" w14:textId="77777777" w:rsidR="00F7210D" w:rsidRDefault="00F721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8EB177E" w14:textId="77777777" w:rsidTr="733B038C">
      <w:tc>
        <w:tcPr>
          <w:tcW w:w="3120" w:type="dxa"/>
        </w:tcPr>
        <w:p w14:paraId="7439D353" w14:textId="77777777" w:rsidR="733B038C" w:rsidRDefault="733B038C" w:rsidP="733B038C">
          <w:pPr>
            <w:pStyle w:val="Header"/>
            <w:ind w:left="-115"/>
          </w:pPr>
        </w:p>
      </w:tc>
      <w:tc>
        <w:tcPr>
          <w:tcW w:w="3120" w:type="dxa"/>
        </w:tcPr>
        <w:p w14:paraId="696D0346" w14:textId="77777777" w:rsidR="733B038C" w:rsidRDefault="733B038C" w:rsidP="733B038C">
          <w:pPr>
            <w:pStyle w:val="Header"/>
            <w:jc w:val="center"/>
          </w:pPr>
        </w:p>
      </w:tc>
      <w:tc>
        <w:tcPr>
          <w:tcW w:w="3120" w:type="dxa"/>
        </w:tcPr>
        <w:p w14:paraId="16237278" w14:textId="77777777" w:rsidR="733B038C" w:rsidRDefault="733B038C" w:rsidP="733B038C">
          <w:pPr>
            <w:pStyle w:val="Header"/>
            <w:ind w:right="-115"/>
            <w:jc w:val="right"/>
          </w:pPr>
        </w:p>
      </w:tc>
    </w:tr>
  </w:tbl>
  <w:p w14:paraId="1DF13BEE"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14C59F0B" w14:textId="77777777" w:rsidTr="733B038C">
      <w:tc>
        <w:tcPr>
          <w:tcW w:w="3120" w:type="dxa"/>
        </w:tcPr>
        <w:p w14:paraId="720A7C7B" w14:textId="77777777" w:rsidR="733B038C" w:rsidRDefault="733B038C" w:rsidP="733B038C">
          <w:pPr>
            <w:pStyle w:val="Header"/>
            <w:ind w:left="-115"/>
          </w:pPr>
        </w:p>
      </w:tc>
      <w:tc>
        <w:tcPr>
          <w:tcW w:w="3120" w:type="dxa"/>
        </w:tcPr>
        <w:p w14:paraId="17565C18" w14:textId="77777777" w:rsidR="733B038C" w:rsidRDefault="733B038C" w:rsidP="733B038C">
          <w:pPr>
            <w:pStyle w:val="Header"/>
            <w:jc w:val="center"/>
          </w:pPr>
        </w:p>
      </w:tc>
      <w:tc>
        <w:tcPr>
          <w:tcW w:w="3120" w:type="dxa"/>
        </w:tcPr>
        <w:p w14:paraId="6717BD4A" w14:textId="77777777" w:rsidR="733B038C" w:rsidRDefault="733B038C" w:rsidP="733B038C">
          <w:pPr>
            <w:pStyle w:val="Header"/>
            <w:ind w:right="-115"/>
            <w:jc w:val="right"/>
          </w:pPr>
        </w:p>
      </w:tc>
    </w:tr>
  </w:tbl>
  <w:p w14:paraId="7C7336B2"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7E5B1" w14:textId="77777777" w:rsidR="00F7210D" w:rsidRDefault="00F7210D">
      <w:pPr>
        <w:spacing w:line="240" w:lineRule="auto"/>
      </w:pPr>
      <w:r>
        <w:separator/>
      </w:r>
    </w:p>
  </w:footnote>
  <w:footnote w:type="continuationSeparator" w:id="0">
    <w:p w14:paraId="75B455B9" w14:textId="77777777" w:rsidR="00F7210D" w:rsidRDefault="00F7210D">
      <w:pPr>
        <w:spacing w:line="240" w:lineRule="auto"/>
      </w:pPr>
      <w:r>
        <w:continuationSeparator/>
      </w:r>
    </w:p>
  </w:footnote>
  <w:footnote w:type="continuationNotice" w:id="1">
    <w:p w14:paraId="7C3FA544" w14:textId="77777777" w:rsidR="00F7210D" w:rsidRDefault="00F7210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6B7CD5AD" w14:textId="77777777" w:rsidTr="008830C9">
      <w:tc>
        <w:tcPr>
          <w:tcW w:w="3120" w:type="dxa"/>
        </w:tcPr>
        <w:p w14:paraId="384B2A4A" w14:textId="5591B6EA" w:rsidR="00604652" w:rsidRDefault="00604652" w:rsidP="00604652">
          <w:pPr>
            <w:pStyle w:val="Header"/>
          </w:pPr>
        </w:p>
      </w:tc>
      <w:tc>
        <w:tcPr>
          <w:tcW w:w="3120" w:type="dxa"/>
        </w:tcPr>
        <w:p w14:paraId="36A23BF0" w14:textId="77777777" w:rsidR="00904DBE" w:rsidRDefault="00904DBE" w:rsidP="00904DBE">
          <w:pPr>
            <w:pStyle w:val="Header"/>
            <w:jc w:val="center"/>
          </w:pPr>
        </w:p>
      </w:tc>
      <w:tc>
        <w:tcPr>
          <w:tcW w:w="3120" w:type="dxa"/>
        </w:tcPr>
        <w:p w14:paraId="08E244FA"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F1E4A28"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34CD57C3" w14:textId="77777777" w:rsidTr="00FD478C">
      <w:tc>
        <w:tcPr>
          <w:tcW w:w="3120" w:type="dxa"/>
        </w:tcPr>
        <w:p w14:paraId="4AEE34B1" w14:textId="4E227830" w:rsidR="733B038C" w:rsidRPr="00FD478C" w:rsidRDefault="733B038C" w:rsidP="00FD478C">
          <w:pPr>
            <w:pStyle w:val="Header"/>
          </w:pPr>
        </w:p>
      </w:tc>
      <w:tc>
        <w:tcPr>
          <w:tcW w:w="3120" w:type="dxa"/>
        </w:tcPr>
        <w:p w14:paraId="2F6859A5" w14:textId="77777777" w:rsidR="733B038C" w:rsidRDefault="733B038C" w:rsidP="733B038C">
          <w:pPr>
            <w:pStyle w:val="Header"/>
            <w:jc w:val="center"/>
          </w:pPr>
        </w:p>
      </w:tc>
      <w:tc>
        <w:tcPr>
          <w:tcW w:w="3120" w:type="dxa"/>
        </w:tcPr>
        <w:p w14:paraId="5143E5A2" w14:textId="77777777" w:rsidR="733B038C" w:rsidRDefault="733B038C" w:rsidP="733B038C">
          <w:pPr>
            <w:pStyle w:val="Header"/>
            <w:ind w:right="-115"/>
            <w:jc w:val="right"/>
          </w:pPr>
        </w:p>
      </w:tc>
    </w:tr>
  </w:tbl>
  <w:p w14:paraId="44AC9A7F"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40C3C"/>
    <w:multiLevelType w:val="multilevel"/>
    <w:tmpl w:val="26F4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D8"/>
    <w:rsid w:val="00061D3C"/>
    <w:rsid w:val="000F34EA"/>
    <w:rsid w:val="00256279"/>
    <w:rsid w:val="00293164"/>
    <w:rsid w:val="002A73B3"/>
    <w:rsid w:val="002B1B90"/>
    <w:rsid w:val="002C3BE4"/>
    <w:rsid w:val="002F7E04"/>
    <w:rsid w:val="00307F07"/>
    <w:rsid w:val="00371BD9"/>
    <w:rsid w:val="003A4B90"/>
    <w:rsid w:val="0042207D"/>
    <w:rsid w:val="004C683E"/>
    <w:rsid w:val="00500997"/>
    <w:rsid w:val="00530EF3"/>
    <w:rsid w:val="005377F3"/>
    <w:rsid w:val="005936DA"/>
    <w:rsid w:val="00604652"/>
    <w:rsid w:val="00661DD8"/>
    <w:rsid w:val="006C101C"/>
    <w:rsid w:val="006F4709"/>
    <w:rsid w:val="00702B81"/>
    <w:rsid w:val="00727711"/>
    <w:rsid w:val="0074264E"/>
    <w:rsid w:val="00796468"/>
    <w:rsid w:val="007D4A2B"/>
    <w:rsid w:val="007E2D6A"/>
    <w:rsid w:val="008078FA"/>
    <w:rsid w:val="0081597C"/>
    <w:rsid w:val="00823731"/>
    <w:rsid w:val="008C6CA1"/>
    <w:rsid w:val="00904DBE"/>
    <w:rsid w:val="00A75901"/>
    <w:rsid w:val="00B5233A"/>
    <w:rsid w:val="00BA6612"/>
    <w:rsid w:val="00C26C30"/>
    <w:rsid w:val="00CA1E31"/>
    <w:rsid w:val="00CD7F50"/>
    <w:rsid w:val="00D64DE9"/>
    <w:rsid w:val="00D775E1"/>
    <w:rsid w:val="00DA395D"/>
    <w:rsid w:val="00DC68DE"/>
    <w:rsid w:val="00DF1ADF"/>
    <w:rsid w:val="00DF3215"/>
    <w:rsid w:val="00E078FD"/>
    <w:rsid w:val="00E23707"/>
    <w:rsid w:val="00E264C2"/>
    <w:rsid w:val="00E879E7"/>
    <w:rsid w:val="00F3768A"/>
    <w:rsid w:val="00F43ACD"/>
    <w:rsid w:val="00F7210D"/>
    <w:rsid w:val="00F7237C"/>
    <w:rsid w:val="00F857FE"/>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C8F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D775E1"/>
    <w:rPr>
      <w:color w:val="605E5C"/>
      <w:shd w:val="clear" w:color="auto" w:fill="E1DFDD"/>
    </w:rPr>
  </w:style>
  <w:style w:type="character" w:styleId="FollowedHyperlink">
    <w:name w:val="FollowedHyperlink"/>
    <w:basedOn w:val="DefaultParagraphFont"/>
    <w:uiPriority w:val="99"/>
    <w:semiHidden/>
    <w:unhideWhenUsed/>
    <w:rsid w:val="00D775E1"/>
    <w:rPr>
      <w:color w:val="954F72" w:themeColor="followedHyperlink"/>
      <w:u w:val="single"/>
    </w:rPr>
  </w:style>
  <w:style w:type="paragraph" w:styleId="ListParagraph">
    <w:name w:val="List Paragraph"/>
    <w:basedOn w:val="Normal"/>
    <w:uiPriority w:val="34"/>
    <w:qFormat/>
    <w:rsid w:val="00537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866">
      <w:bodyDiv w:val="1"/>
      <w:marLeft w:val="0"/>
      <w:marRight w:val="0"/>
      <w:marTop w:val="0"/>
      <w:marBottom w:val="0"/>
      <w:divBdr>
        <w:top w:val="none" w:sz="0" w:space="0" w:color="auto"/>
        <w:left w:val="none" w:sz="0" w:space="0" w:color="auto"/>
        <w:bottom w:val="none" w:sz="0" w:space="0" w:color="auto"/>
        <w:right w:val="none" w:sz="0" w:space="0" w:color="auto"/>
      </w:divBdr>
    </w:div>
    <w:div w:id="365180614">
      <w:bodyDiv w:val="1"/>
      <w:marLeft w:val="0"/>
      <w:marRight w:val="0"/>
      <w:marTop w:val="0"/>
      <w:marBottom w:val="0"/>
      <w:divBdr>
        <w:top w:val="none" w:sz="0" w:space="0" w:color="auto"/>
        <w:left w:val="none" w:sz="0" w:space="0" w:color="auto"/>
        <w:bottom w:val="none" w:sz="0" w:space="0" w:color="auto"/>
        <w:right w:val="none" w:sz="0" w:space="0" w:color="auto"/>
      </w:divBdr>
    </w:div>
    <w:div w:id="697198141">
      <w:bodyDiv w:val="1"/>
      <w:marLeft w:val="0"/>
      <w:marRight w:val="0"/>
      <w:marTop w:val="0"/>
      <w:marBottom w:val="0"/>
      <w:divBdr>
        <w:top w:val="none" w:sz="0" w:space="0" w:color="auto"/>
        <w:left w:val="none" w:sz="0" w:space="0" w:color="auto"/>
        <w:bottom w:val="none" w:sz="0" w:space="0" w:color="auto"/>
        <w:right w:val="none" w:sz="0" w:space="0" w:color="auto"/>
      </w:divBdr>
    </w:div>
    <w:div w:id="1801998383">
      <w:bodyDiv w:val="1"/>
      <w:marLeft w:val="0"/>
      <w:marRight w:val="0"/>
      <w:marTop w:val="0"/>
      <w:marBottom w:val="0"/>
      <w:divBdr>
        <w:top w:val="none" w:sz="0" w:space="0" w:color="auto"/>
        <w:left w:val="none" w:sz="0" w:space="0" w:color="auto"/>
        <w:bottom w:val="none" w:sz="0" w:space="0" w:color="auto"/>
        <w:right w:val="none" w:sz="0" w:space="0" w:color="auto"/>
      </w:divBdr>
    </w:div>
    <w:div w:id="180350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xiv.org/pdf/1803.08494.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ir.semama\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77B91B68234C0EA99367224477CA92"/>
        <w:category>
          <w:name w:val="General"/>
          <w:gallery w:val="placeholder"/>
        </w:category>
        <w:types>
          <w:type w:val="bbPlcHdr"/>
        </w:types>
        <w:behaviors>
          <w:behavior w:val="content"/>
        </w:behaviors>
        <w:guid w:val="{863BC5D8-322F-409C-B9EC-EB4165CACDBE}"/>
      </w:docPartPr>
      <w:docPartBody>
        <w:p w:rsidR="005E55C8" w:rsidRDefault="009C037A">
          <w:pPr>
            <w:pStyle w:val="3677B91B68234C0EA99367224477CA92"/>
          </w:pPr>
          <w:r w:rsidRPr="576062CF">
            <w:t>Abstract</w:t>
          </w:r>
        </w:p>
      </w:docPartBody>
    </w:docPart>
    <w:docPart>
      <w:docPartPr>
        <w:name w:val="98795A5939CD4083B86E58DF8701154E"/>
        <w:category>
          <w:name w:val="General"/>
          <w:gallery w:val="placeholder"/>
        </w:category>
        <w:types>
          <w:type w:val="bbPlcHdr"/>
        </w:types>
        <w:behaviors>
          <w:behavior w:val="content"/>
        </w:behaviors>
        <w:guid w:val="{D67A407D-35A4-4D9E-945D-8C5636F635AE}"/>
      </w:docPartPr>
      <w:docPartBody>
        <w:p w:rsidR="005E55C8" w:rsidRDefault="009C037A">
          <w:pPr>
            <w:pStyle w:val="98795A5939CD4083B86E58DF8701154E"/>
          </w:pPr>
          <w:r w:rsidRPr="576062CF">
            <w:t>References</w:t>
          </w:r>
        </w:p>
      </w:docPartBody>
    </w:docPart>
    <w:docPart>
      <w:docPartPr>
        <w:name w:val="5A66A89F2E6843D5865E0E68A34D911A"/>
        <w:category>
          <w:name w:val="General"/>
          <w:gallery w:val="placeholder"/>
        </w:category>
        <w:types>
          <w:type w:val="bbPlcHdr"/>
        </w:types>
        <w:behaviors>
          <w:behavior w:val="content"/>
        </w:behaviors>
        <w:guid w:val="{54EFC544-7450-4596-B1C0-73490CBAC5EF}"/>
      </w:docPartPr>
      <w:docPartBody>
        <w:p w:rsidR="005E55C8" w:rsidRDefault="003258C8" w:rsidP="003258C8">
          <w:pPr>
            <w:pStyle w:val="5A66A89F2E6843D5865E0E68A34D911A"/>
          </w:pPr>
          <w:r>
            <w:t>Table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C8"/>
    <w:rsid w:val="001B732B"/>
    <w:rsid w:val="00295AAE"/>
    <w:rsid w:val="003258C8"/>
    <w:rsid w:val="005E55C8"/>
    <w:rsid w:val="009C03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lang w:val="en-US" w:eastAsia="en-US" w:bidi="ar-SA"/>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lang w:val="en-US" w:eastAsia="en-US" w:bidi="ar-SA"/>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lang w:val="en-US" w:eastAsia="en-US" w:bidi="ar-SA"/>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77B91B68234C0EA99367224477CA92">
    <w:name w:val="3677B91B68234C0EA99367224477CA92"/>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lang w:val="en-US" w:eastAsia="en-US" w:bidi="ar-SA"/>
    </w:rPr>
  </w:style>
  <w:style w:type="character" w:customStyle="1" w:styleId="Heading3Char">
    <w:name w:val="Heading 3 Char"/>
    <w:basedOn w:val="DefaultParagraphFont"/>
    <w:link w:val="Heading3"/>
    <w:uiPriority w:val="9"/>
    <w:rPr>
      <w:rFonts w:eastAsiaTheme="minorHAnsi"/>
      <w:b/>
      <w:bCs/>
      <w:i/>
      <w:iCs/>
      <w:lang w:val="en-US" w:eastAsia="en-US" w:bidi="ar-SA"/>
    </w:rPr>
  </w:style>
  <w:style w:type="character" w:customStyle="1" w:styleId="Heading4Char">
    <w:name w:val="Heading 4 Char"/>
    <w:basedOn w:val="DefaultParagraphFont"/>
    <w:link w:val="Heading4"/>
    <w:uiPriority w:val="9"/>
    <w:rPr>
      <w:rFonts w:eastAsiaTheme="minorHAnsi"/>
      <w:b/>
      <w:bCs/>
      <w:lang w:val="en-US" w:eastAsia="en-US" w:bidi="ar-SA"/>
    </w:rPr>
  </w:style>
  <w:style w:type="character" w:customStyle="1" w:styleId="Heading5Char">
    <w:name w:val="Heading 5 Char"/>
    <w:basedOn w:val="DefaultParagraphFont"/>
    <w:link w:val="Heading5"/>
    <w:uiPriority w:val="9"/>
    <w:rPr>
      <w:rFonts w:eastAsiaTheme="minorHAnsi"/>
      <w:b/>
      <w:bCs/>
      <w:i/>
      <w:iCs/>
      <w:lang w:val="en-US" w:eastAsia="en-US" w:bidi="ar-SA"/>
    </w:rPr>
  </w:style>
  <w:style w:type="paragraph" w:customStyle="1" w:styleId="98795A5939CD4083B86E58DF8701154E">
    <w:name w:val="98795A5939CD4083B86E58DF8701154E"/>
  </w:style>
  <w:style w:type="character" w:styleId="Hyperlink">
    <w:name w:val="Hyperlink"/>
    <w:basedOn w:val="DefaultParagraphFont"/>
    <w:uiPriority w:val="99"/>
    <w:unhideWhenUsed/>
    <w:rPr>
      <w:color w:val="0563C1" w:themeColor="hyperlink"/>
      <w:u w:val="single"/>
    </w:rPr>
  </w:style>
  <w:style w:type="paragraph" w:customStyle="1" w:styleId="5A66A89F2E6843D5865E0E68A34D911A">
    <w:name w:val="5A66A89F2E6843D5865E0E68A34D911A"/>
    <w:rsid w:val="003258C8"/>
  </w:style>
  <w:style w:type="paragraph" w:customStyle="1" w:styleId="F33710E291EB4EFA8AB9098009657ABC">
    <w:name w:val="F33710E291EB4EFA8AB9098009657ABC"/>
    <w:rsid w:val="003258C8"/>
  </w:style>
  <w:style w:type="paragraph" w:customStyle="1" w:styleId="1F55414C851D4E15957B36A448CA9CA7">
    <w:name w:val="1F55414C851D4E15957B36A448CA9CA7"/>
    <w:rsid w:val="003258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2837BD-1069-4132-B6EE-0A8655DAA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2023-05-15T08:40:00Z</dcterms:created>
  <dcterms:modified xsi:type="dcterms:W3CDTF">2023-05-15T17:13:00Z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