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Blueprint for Advanced.NET Attendance Systems: Multi-Provider Strategies, Temporal Data Management, and Offline Resilience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and System Operational Context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engineering of an enterprise-level attendance management system presents significant architectural challenges, particularly when the system is constrained by complete offline operation and subjected to complex domain rules. The specific use case under analysis involves a.NET attendance application that is currently bound to a MySQL infrastructure, with a strategic, long-term roadmap dictating a transition to an Oracle database ecosystem. Although the original repository containing the system architecture overview was unavailable for direct inspection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architectural blueprint detailed in this report establishes a robust, greenfield operational framework designed to encapsulate the existing domain logic while vastly expanding its capabilities.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domain logic is governed by strict categorization rules: employees are segmented into skilled, semi-skilled, and unskilled labor pools. A defining constraint of this system is the identity management model, wherein an employee identifier (ID) can repeat across different categories but must remain strictly unique within its assigned category. The evolutionary requirements of the system mandate the introduction of advanced temporal tracking capabilities. The application must support the dynamic administration of contract-based vendors, tracking the lifecycle of their contracts and dynamically computing aggregate employee headcounts. Furthermore, the system requires a comprehensive audit trail of employee historical data, capturing the exact temporal boundaries of onboarding, offboarding, vendor reassignments, and category transitions (upgrades or downgrades). Accompanying these temporal requirements is a complex human resources condition: the calculation of employee leave must transition from a static allocation to a dynamic, algorithmically prorated model that accounts for mid-year joiners and intra-year category shifts.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report delivers an exhaustive architectural exposition, detailing the necessary database schema modifications, the.NET application flow, the multi-database abstraction strategies, and the performance paradigms required to support these features while strictly adhering to the offline operational constraint and the eventual Oracle migration mandate.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Foundations: Multi-Database Abstraction in.NET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from an open-source relational database management system like MySQL—which was originally sponsored by MySQL AB prior to its acquisition by Oracle Corporation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—to a full-fledged enterprise Oracle database demands a deliberate, highly decoupled abstraction layer within the.NET application. The prevailing, industry-standard paradigm for achieving this in modern.NET Core and.NET 8/9 environments is the utilization of Entity Framework Core (EF Core), a lightweight, extensible Object-Relational Mapping (ORM) framework that wraps around traditional ADO.NET components to provide a unified data access layer.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Provider Abstraction and Dependency Injection Topologies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EF Core is fundamentally engineered to support multiple database engines through a robust provider-model architecture.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To support both the current MySQL infrastructure and the future Oracle deployment without requiring a catastrophic rewrite of the application's data access layer, the software architecture must employ a multi-provider DbContext strategy.</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Historically,.NET developers might have preferred maintaining multiple database solutions as separate forks or relying on lower-level ADO.NET DbConnection factories. However, in 2026, the accepted enterprise standard relies heavily on the Dependency Injection (DI) container provided by the Microsoft.Extensions.Hosting namespace. The architectural implementation involves designing a unified AttendanceDbContext that encapsulates the DbSet&lt;T&gt; properties representing the domain entities (e.g., Employees, Vendors, AttendanceLogs). During the application's startup phase, the connection logic dynamically evaluates an environment variable, a local JSON configuration file, or an offline configuration switch to determine the active database provider.</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the current offline MySQL implementation, the Pomelo.EntityFrameworkCore.MySql provider is the recommended choice.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community-maintained provider is widely recognized for its superior performance, asynchronous query optimization, and strict adherence to EF Core standards compared to alternative MySQL connectors.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For the subsequent Oracle migration, the system will seamlessly swap the injection logic to utilize the Oracle.EntityFrameworkCore provider, which is officially maintained by Oracle and grants native access to advanced database features such as optimized math translations, complex type mapping, and JSON relational duality.</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application architecture utilizes a switch expression within the DI registration block. A normalized configuration value dictates whether options.UseMySql() or options.UseOracle() is invoked.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approach ensures that the business logic layer, the application services, and the user interface remain entirely ignorant of the underlying persistence mechanism, thereby eliminating vendor lock-in.</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Segregation of Migration Assemblies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constraint within the EF Core framework is that database migrations are inherently coupled to the specific SQL syntax, indexing strategies, and type mapping of the active database provider.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 migration generated for MySQL utilizing column types such as VARCHAR or DATETIME will fail catastrophically when applied to an Oracle database, which expects VARCHAR2 or TIMESTAMP.</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Furthermore, features like auto-incrementing integers in MySQL (AUTO_INCREMENT) map to fundamentally different constructs in Oracle (GENERATED ALWAYS AS IDENTITY).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Therefore, the architecture strictly dictates the separation of migrations into distinct assemblies or projects within the encompassing.NET solution.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solution topology must be structured into several isolated projects: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Attendance.Domain:</w:t>
      </w:r>
      <w:r w:rsidDel="00000000" w:rsidR="00000000" w:rsidRPr="00000000">
        <w:rPr>
          <w:rFonts w:ascii="Google Sans" w:cs="Google Sans" w:eastAsia="Google Sans" w:hAnsi="Google Sans"/>
          <w:color w:val="1f1f1f"/>
          <w:rtl w:val="0"/>
        </w:rPr>
        <w:t xml:space="preserve"> Contains the raw C# entity classes (POCOs), enumerations, and mathematical business logic interfaces. This project has zero dependencies on EF Core.</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Attendance.Infrastructure:</w:t>
      </w:r>
      <w:r w:rsidDel="00000000" w:rsidR="00000000" w:rsidRPr="00000000">
        <w:rPr>
          <w:rFonts w:ascii="Google Sans" w:cs="Google Sans" w:eastAsia="Google Sans" w:hAnsi="Google Sans"/>
          <w:color w:val="1f1f1f"/>
          <w:rtl w:val="0"/>
        </w:rPr>
        <w:t xml:space="preserve"> Contains the AttendanceDbContext, the EF Core IEntityTypeConfiguration&lt;T&gt; mapping classes, and the repository implementations.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Attendance.Migrations.MySQL:</w:t>
      </w:r>
      <w:r w:rsidDel="00000000" w:rsidR="00000000" w:rsidRPr="00000000">
        <w:rPr>
          <w:rFonts w:ascii="Google Sans" w:cs="Google Sans" w:eastAsia="Google Sans" w:hAnsi="Google Sans"/>
          <w:color w:val="1f1f1f"/>
          <w:rtl w:val="0"/>
        </w:rPr>
        <w:t xml:space="preserve"> A dedicated project exclusively containing Pomelo MySQL migrations.</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Attendance.Migrations.Oracle:</w:t>
      </w:r>
      <w:r w:rsidDel="00000000" w:rsidR="00000000" w:rsidRPr="00000000">
        <w:rPr>
          <w:rFonts w:ascii="Google Sans" w:cs="Google Sans" w:eastAsia="Google Sans" w:hAnsi="Google Sans"/>
          <w:color w:val="1f1f1f"/>
          <w:rtl w:val="0"/>
        </w:rPr>
        <w:t xml:space="preserve"> A dedicated project exclusively containing Oracle EF Core migrations.</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Attendance.App (Host):</w:t>
      </w:r>
      <w:r w:rsidDel="00000000" w:rsidR="00000000" w:rsidRPr="00000000">
        <w:rPr>
          <w:rFonts w:ascii="Google Sans" w:cs="Google Sans" w:eastAsia="Google Sans" w:hAnsi="Google Sans"/>
          <w:color w:val="1f1f1f"/>
          <w:rtl w:val="0"/>
        </w:rPr>
        <w:t xml:space="preserve"> The executable entry point (e.g., WPF, MAUI, or a localized Kestrel web server for offline access).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isolating the migrations, the engineering team can utilize the.NET Command Line Interface (CLI) to explicitly target these separate assemblies using the --context, --project, and --provider arguments.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Invoking commands such as dotnet ef migrations add InitialCreate --project Attendance.Migrations.MySQL --provider Pomelo.EntityFrameworkCore.MySql allows the build pipeline to maintain parallel evolutionary tracks for both database schemas.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ensures that when the organization is finally ready to execute the Oracle migration, the schema generation scripts are pre-compiled, exhaustively tested, and perfectly aligned with the unified domain model.</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Managing the Strict Offline Operational Constraint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requirement for the.NET application to function "completely offline" imposes severe constraints on data persistence, concurrency strategies, and transactional integrity. In continuously connected SaaS environments, an ORM rapidly queries and updates rows against a centralized server cluster. In a strictly offline topology, the application must rely entirely on localized persistence mechanisms acting as edge nodes.</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Localized Database Instances vs. In-Memory Datasets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Historically, the ADO.NET framework addressed offline data manipulation through the DataSet and SqlDataAdapter components.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 DataSet operates as a robust, in-memory representation of data that retains multiple tables, structural definitions, and complex relational integrity constraints completely disconnected from the underlying physical database.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DataAdapter acts as a crucial programmatic bridge, utilizing a Command object to execute SQL queries, reading the forward-only stream via a DataReader, and populating the disconnected DataSet.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Users could interact with the attendance system, modifying rows in the DataSet over several hours or days without a live connection. Once network connectivity to a central node was established, the DataAdapter would process the batch updates.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modern EF Core architectures operating in a strictly offline environment necessitate a localized database daemon. The host machine must run a localized instance of MySQL Server (or, in the future, Oracle Database Express Edition). The.NET application communicates with this local instance utilizing standard EF Core connection strings pointing to localhost or 127.0.0.1. The "offline" constraint dictates that the database is local to the application, eliminating network latency but placing the highest possible burden on localized data integrity and hardware resilience.</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Transactional Boundaries and Resilience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offline edge devices (such as laptops or local kiosks on factory floors) are highly susceptible to sudden power loss, localized hardware failures, or abrupt application termination, robust transactional boundaries must be enforced within the.NET application layer.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any temporal update—such as processing an employee's resignation or a complex mid-year category upgrade—multiple tables must be mutated simultaneously. The architecture utilizes EF Core's inherent transactional wrapper via the Unit of Work pattern or explicitly defined IDbContextTransaction scopes. If a transaction involves closing a historical record and opening a new one, the execution flow strictly mandates that both operations succeed locally, or the entire operation is rolled back to prevent a corrupted, inconsistent state in the local MySQL instance.</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Schema Engineering: The Composite Key and Temporal History Paradigm</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formidable data engineering task within this specification is the requirement to maintain a complete historical audit trail of employee states, coupled with the unique domain constraint that EmployeeID is not universally unique. The system must track the exact dates when employees join, resign, change vendors, or shift between skilled, semi-skilled, and unskilled categories.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Standard relational databases are inherently designed to reflect the current, real-time state of a system. Modifying a row overwrites the previous data, destroying historical context. This is fundamentally inadequate for the defined requirements. To resolve this, the database architecture must implement Slowly Changing Dimensions (SCD), specifically SCD Type 2.</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SCD Type 2 preserves historical accuracy by appending a completely new record to a history table whenever a tracked attribute changes, accompanied by precise temporal metadata.</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Addressing the Composite Identity Constraint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business logic explicitly defines that an employee is categorized into one of three classifications: Skilled, Semi-Skilled, or Unskilled. Furthermore, the EmployeeID can repeat across these categories (e.g., there can be an employee with ID '100' who is Skilled, and a completely different human being with ID '100' who is Unskilled). However, the ID is strictly unique within its specific category.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support this in a relational database, particularly one managed by an ORM like EF Core, relying on composite natural keys (CategoryID, LocalEmployeeID) as foreign keys throughout the entire database (e.g., in the massive Attendance_Log or Leave_Balances tables) is an anti-pattern. It drastically bloats the database storage size, degrades index performance, and severely complicates query logic.</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optimal architectural decision is to introduce an immutable Surrogate Primary Key—specifically a globally unique identifier (UUID/GUID)—for the Employee Master table. The domain's composite constraint is then strictly enforced via a Unique Non-Clustered Index on the combination of CategoryID and LocalEmployeeID.</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Foundational Lookup and Vendor Schemas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establishes foundational master tables to manage categorical and vendor data.</w:t>
      </w:r>
    </w:p>
    <w:p w:rsidR="00000000" w:rsidDel="00000000" w:rsidP="00000000" w:rsidRDefault="00000000" w:rsidRPr="00000000" w14:paraId="00000027">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Category_Master</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a static lookup table defining the structural categories of the workforce.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Column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MySQL Data 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Oracle Data 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Constraints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CategoryID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NUMBER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Key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Unique ID (1, 2, 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CategoryName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VARCHAR2(50)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UNIQUE, 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'Skilled', 'Semi-Skilled', 'Unskilled'.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BaseLeaveAllocation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DECIMAL(5,2)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NUMBER(5,2)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Default annual leave (e.g., 24.00, 15.00).</w:t>
            </w:r>
          </w:p>
        </w:tc>
      </w:tr>
    </w:tbl>
    <w:p w:rsidR="00000000" w:rsidDel="00000000" w:rsidP="00000000" w:rsidRDefault="00000000" w:rsidRPr="00000000" w14:paraId="0000003D">
      <w:pPr>
        <w:pStyle w:val="Heading4"/>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Vendor_Master</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table serves as the primary registry for external contracting organizations.</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Column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MySQL Data 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Oracle Data 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Constraints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VendorID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 AUTO_INCREMENT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NUMBER GENERATED ALWAYS AS IDENTITY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Key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Surrogate key for the vendor.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VendorName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VARCHAR(255)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VARCHAR2(255)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Legal entity name.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RegistrationCode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VARCHAR2(100)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UNIQUE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External registration code.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IsActive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BOOLEAN/TINYINT(1)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NUMBER(1)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 DEFAULT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Soft deletion flag.</w:t>
            </w:r>
          </w:p>
        </w:tc>
      </w:tr>
    </w:tbl>
    <w:p w:rsidR="00000000" w:rsidDel="00000000" w:rsidP="00000000" w:rsidRDefault="00000000" w:rsidRPr="00000000" w14:paraId="00000058">
      <w:pPr>
        <w:pStyle w:val="Heading4"/>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Vendor_Contracts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satisfy the requirement to track when vendors gained or lost contracts, a temporal contract table is required.</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Column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MySQL Data 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Oracle Data 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Constraints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ContractID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 AUTO_INCREMENT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NUMBER GENERATED ALWAYS AS IDENTITY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Key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Surrogate key for the contract.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VendorID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NUMBER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Foreign Key (Vendor_Master)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Relational link to the vendor.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StartDate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Contract commencement date.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EndDate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Termination date (null if active).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VARCHAR2(50)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Enum: Active, Suspended, Expired.</w:t>
            </w:r>
          </w:p>
        </w:tc>
      </w:tr>
    </w:tbl>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Architectural Note on Employee Counts:</w:t>
      </w:r>
      <w:r w:rsidDel="00000000" w:rsidR="00000000" w:rsidRPr="00000000">
        <w:rPr>
          <w:rFonts w:ascii="Google Sans" w:cs="Google Sans" w:eastAsia="Google Sans" w:hAnsi="Google Sans"/>
          <w:color w:val="1f1f1f"/>
          <w:rtl w:val="0"/>
        </w:rPr>
        <w:t xml:space="preserve"> The requirement to track "employee counts" per vendor should not be resolved by adding a static EmployeeCount integer column to the Vendor_Master table. Storing derived analytical data in this manner violates the Third Normal Form (3NF) and guarantees update anomalies in a highly concurrent or crash-prone offline environment. Instead, employee counts per vendor are dynamically calculated at runtime via an aggregated COUNT() query joining the Vendor and Employee History tables, filtering strictly for currently active records. If performance becomes an issue with millions of rows, EF Core enables localized materialized views or query optimizations.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Employee Catalog and Temporal History Schema</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fulfill the requirement of exhaustive historical data—including category upgrades, vendor reassignments, joining, and resigning—a centralized employee table paired with a sophisticated SCD Type 2 history table is mandatory.</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7B">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Employee_Master</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table stores the immutable facts about an employee that theoretically never change (or change very rarely, like a legal name), shielding the highly volatile history table from redundant data duplication.</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Column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MySQL Data 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Oracle Data 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Constraints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GlobalEmployeeKey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CHAR(36) (UUID)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RAW(16)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Key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Immutable surrogate key.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LocalEmployeeID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VARCHAR2(50)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business-assigned ID (can repeat).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BaseCategoryID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NUMBER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Foreign Key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category assigned at inception.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VARCHAR(255)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VARCHAR2(255)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Employee's legal name.</w:t>
            </w:r>
          </w:p>
        </w:tc>
      </w:tr>
    </w:tbl>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Crucial Architecture Note:</w:t>
      </w:r>
      <w:r w:rsidDel="00000000" w:rsidR="00000000" w:rsidRPr="00000000">
        <w:rPr>
          <w:rFonts w:ascii="Google Sans" w:cs="Google Sans" w:eastAsia="Google Sans" w:hAnsi="Google Sans"/>
          <w:color w:val="1f1f1f"/>
          <w:rtl w:val="0"/>
        </w:rPr>
        <w:t xml:space="preserve"> A unique composite index is generated via EF Core's Fluent API (builder.HasIndex(e =&gt; new { e.BaseCategoryID, e.LocalEmployeeID }).IsUnique();). This programmatically enforces the business rule that an ID can repeat across categories but never within the same category.</w:t>
      </w:r>
    </w:p>
    <w:p w:rsidR="00000000" w:rsidDel="00000000" w:rsidP="00000000" w:rsidRDefault="00000000" w:rsidRPr="00000000" w14:paraId="00000097">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Employee_Temporal_History (SCD Type 2)</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table acts as the backbone of the historical tracking system. Every time an employee's state changes, the current record is mathematically "closed" (by stamping the ValidTo timestamp), and a new sequential record is "opened".</w:t>
      </w:r>
      <w:r w:rsidDel="00000000" w:rsidR="00000000" w:rsidRPr="00000000">
        <w:rPr>
          <w:rFonts w:ascii="Google Sans" w:cs="Google Sans" w:eastAsia="Google Sans" w:hAnsi="Google Sans"/>
          <w:color w:val="444746"/>
          <w:sz w:val="24"/>
          <w:szCs w:val="24"/>
          <w:vertAlign w:val="superscript"/>
          <w:rtl w:val="0"/>
        </w:rPr>
        <w:t xml:space="preserve">13</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Column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MySQL Data 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Oracle Data 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Constraints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HistoryID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BIGINT AUTO_INC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NUMBER IDENTITY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Key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Surrogate key for the history row.</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GlobalEmployeeKey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CHAR(36)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RAW(16)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Foreign Key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Link to the core employee record.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VendorID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NUMBER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Foreign Key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vendor currently employing them.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CurrentCategoryID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NUMBER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Foreign Key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Their current skill level category.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EmploymentStatus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VARCHAR2(20)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Enum: Active, Resigned, Terminated.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ValidFrom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DATETIME(6)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TIMESTAMP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exact microsecond this state began.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DATETIME(6)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TIMESTAMP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microsecond this state ended.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IsCurrent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BOOLEAN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NUMBER(1)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Quick index flag for the active state.</w:t>
            </w:r>
          </w:p>
        </w:tc>
      </w:tr>
    </w:tbl>
    <w:p w:rsidR="00000000" w:rsidDel="00000000" w:rsidP="00000000" w:rsidRDefault="00000000" w:rsidRPr="00000000" w14:paraId="000000C6">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Temporal Data Flow and Application Interactions</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application's business logic layer (implemented via MediatR for CQRS or standard application services) orchestrates precise workflows to manage the temporal database schema. The following operational flows dictate the architectural execution:</w:t>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Onboarding Workflow (Joining)</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new employee is registered in the offline application, the UI constructs a localized payload. The application opens a database transaction. A new UUID is generated for the GlobalEmployeeKey. A record is inserted into Employee_Master with the designated LocalEmployeeID and BaseCategoryID. Immediately within the same transaction, an initial record is inserted into Employee_Temporal_History with CurrentCategoryID mapping to the base category, VendorID mapping to the contracted vendor, EmploymentStatus set to 'Active', ValidFrom set to the exact DateTime.UtcNow, ValidTo set to NULL, and IsCurrent set to True. The transaction commits.</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Vendor Reassignment Workflow (Vendor Change)</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an employee shifts from Vendor A to Vendor B, the application queries the Employee_Temporal_History table for the record where GlobalEmployeeKey matches the employee and IsCurrent is True. The application sets this record's ValidTo property to the current timestamp and toggles IsCurrent to False. Simultaneously, a new instance of Employee_Temporal_History is instantiated, retaining the same Category but updating the VendorID to Vendor B. This new record receives a ValidFrom timestamp identical to the closed record's ValidTo timestamp, ensuring continuous, unbroken temporal logic with zero overlap.</w:t>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Promotion Workflow (Category Upgrades/Downgrades)</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category upgrade (e.g., Unskilled to Semi-Skilled) triggers an identical SCD Type 2 closure and creation process. The active history record is closed. A new history record is opened, updating the CurrentCategoryID. Crucially, the Employee_Master table remains entirely untouched during this operation. The LocalEmployeeID is permanently preserved. By querying the history table, the HR module can trace exactly how many months the employee spent at the Unskilled tier before their promotion.</w:t>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The Offboarding Workflow (Resigning)</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Upon resignation, the active temporal record is retrieved and closed. A final, terminal record is inserted with EmploymentStatus set to 'Resigned' and IsCurrent set to True. This ensures that historical queries grouping by 'Active' employees instantly exclude resigned personnel without deleting their data, maintaining strict referential integrity for past attendance logs.</w:t>
      </w:r>
    </w:p>
    <w:p w:rsidR="00000000" w:rsidDel="00000000" w:rsidP="00000000" w:rsidRDefault="00000000" w:rsidRPr="00000000" w14:paraId="000000D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Leave Calculation and Proration Engine</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specification introduces a complex conditional requirement: the total leave granted to an employee must be dynamically calculated or prorated if they join in the middle of the year. This prevents the disproportionate allocation of annual benefits to short-term or late-joining personnel and introduces significant mathematical complexity into the.NET domain layer.</w:t>
      </w:r>
    </w:p>
    <w:p w:rsidR="00000000" w:rsidDel="00000000" w:rsidP="00000000" w:rsidRDefault="00000000" w:rsidRPr="00000000" w14:paraId="000000D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Modeling of Standard Leave Proration</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business logic layer utilizes a mathematical proration algorithm encapsulated within a highly unit-testable ILeaveCalculationService. Let the total annual leave entitlement for a specific category of employee be defined as a constant, </w:t>
      </w:r>
      <w:r w:rsidDel="00000000" w:rsidR="00000000" w:rsidRPr="00000000">
        <w:rPr>
          <w:rFonts w:ascii="Google Sans" w:cs="Google Sans" w:eastAsia="Google Sans" w:hAnsi="Google Sans"/>
          <w:color w:val="1f1f1f"/>
        </w:rPr>
        <w:drawing>
          <wp:inline distB="19050" distT="19050" distL="19050" distR="19050">
            <wp:extent cx="574923" cy="249133"/>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4923" cy="2491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retrieved from the Category_Master table.</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calculate the prorated leave (</w:t>
      </w:r>
      <w:r w:rsidDel="00000000" w:rsidR="00000000" w:rsidRPr="00000000">
        <w:rPr>
          <w:rFonts w:ascii="Google Sans" w:cs="Google Sans" w:eastAsia="Google Sans" w:hAnsi="Google Sans"/>
          <w:color w:val="1f1f1f"/>
        </w:rPr>
        <w:drawing>
          <wp:inline distB="19050" distT="19050" distL="19050" distR="19050">
            <wp:extent cx="663625" cy="246489"/>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63625" cy="2464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an employee joining mid-year, the system computes the ratio of the days remaining in the employment year to the total days in the standard year, dynamically adjusting for leap years.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 </w:t>
      </w:r>
      <w:r w:rsidDel="00000000" w:rsidR="00000000" w:rsidRPr="00000000">
        <w:rPr>
          <w:rFonts w:ascii="Google Sans" w:cs="Google Sans" w:eastAsia="Google Sans" w:hAnsi="Google Sans"/>
          <w:color w:val="1f1f1f"/>
        </w:rPr>
        <w:drawing>
          <wp:inline distB="19050" distT="19050" distL="19050" distR="19050">
            <wp:extent cx="473720" cy="246334"/>
            <wp:effectExtent b="0" l="0" r="0" t="0"/>
            <wp:docPr id="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473720" cy="2463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the employee's date of joining (derived from their initial ValidFrom history record).</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 </w:t>
      </w:r>
      <w:r w:rsidDel="00000000" w:rsidR="00000000" w:rsidRPr="00000000">
        <w:rPr>
          <w:rFonts w:ascii="Google Sans" w:cs="Google Sans" w:eastAsia="Google Sans" w:hAnsi="Google Sans"/>
          <w:color w:val="1f1f1f"/>
        </w:rPr>
        <w:drawing>
          <wp:inline distB="19050" distT="19050" distL="19050" distR="19050">
            <wp:extent cx="389632" cy="247083"/>
            <wp:effectExtent b="0" l="0" r="0" t="0"/>
            <wp:docPr id="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389632" cy="2470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the final calendar day of the leave accrual year (typically December 31st).</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 </w:t>
      </w:r>
      <w:r w:rsidDel="00000000" w:rsidR="00000000" w:rsidRPr="00000000">
        <w:rPr>
          <w:rFonts w:ascii="Google Sans" w:cs="Google Sans" w:eastAsia="Google Sans" w:hAnsi="Google Sans"/>
          <w:color w:val="1f1f1f"/>
        </w:rPr>
        <w:drawing>
          <wp:inline distB="19050" distT="19050" distL="19050" distR="19050">
            <wp:extent cx="399008" cy="247005"/>
            <wp:effectExtent b="0" l="0" r="0" t="0"/>
            <wp:docPr id="4"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399008" cy="2470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the total number of days in the current calendar year (365 or 366).</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fundamental continuous proration formula is defined as:</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29762"/>
            <wp:effectExtent b="0" l="0" r="0" t="0"/>
            <wp:docPr id="7"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905500" cy="629762"/>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 resource systems, however, typically do not grant leaves in microscopic fractional values. The result must be quantized to the nearest acceptable increment, usually a half-day (</w:t>
      </w:r>
      <w:r w:rsidDel="00000000" w:rsidR="00000000" w:rsidRPr="00000000">
        <w:rPr>
          <w:rFonts w:ascii="Google Sans" w:cs="Google Sans" w:eastAsia="Google Sans" w:hAnsi="Google Sans"/>
          <w:color w:val="1f1f1f"/>
        </w:rPr>
        <w:drawing>
          <wp:inline distB="19050" distT="19050" distL="19050" distR="19050">
            <wp:extent cx="250478" cy="240844"/>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50478" cy="2408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rounding function </w:t>
      </w:r>
      <w:r w:rsidDel="00000000" w:rsidR="00000000" w:rsidRPr="00000000">
        <w:rPr>
          <w:rFonts w:ascii="Google Sans" w:cs="Google Sans" w:eastAsia="Google Sans" w:hAnsi="Google Sans"/>
          <w:color w:val="1f1f1f"/>
        </w:rPr>
        <w:drawing>
          <wp:inline distB="19050" distT="19050" distL="19050" distR="19050">
            <wp:extent cx="435620" cy="246220"/>
            <wp:effectExtent b="0" l="0" r="0" t="0"/>
            <wp:docPr id="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35620" cy="246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within the.NET C# logic can be expressed mathematically as:</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88174"/>
            <wp:effectExtent b="0" l="0" r="0" t="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05500" cy="588174"/>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Complex Segmented Proration (Mid-Year Category Shifts)</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an employee undergoes a category upgrade mid-year, the complexity of the dynamic calculation increases exponentially. For example, an employee shifts from Unskilled (which grants 15 days of annual leave) to Skilled (which grants 30 days of annual leave) on July 1st.</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application must execute a segmented proration algorithm across the temporal history boundaries. The leave for the first segment of the year is calculated based on the Unskilled rate, and the leave for the remaining segment is calculated based on the Skilled rate.</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 </w:t>
      </w:r>
      <w:r w:rsidDel="00000000" w:rsidR="00000000" w:rsidRPr="00000000">
        <w:rPr>
          <w:rFonts w:ascii="Google Sans" w:cs="Google Sans" w:eastAsia="Google Sans" w:hAnsi="Google Sans"/>
          <w:color w:val="1f1f1f"/>
        </w:rPr>
        <w:drawing>
          <wp:inline distB="19050" distT="19050" distL="19050" distR="19050">
            <wp:extent cx="198537" cy="245808"/>
            <wp:effectExtent b="0" l="0" r="0" t="0"/>
            <wp:docPr id="1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198537" cy="2458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the number of days spent actively in the Unskilled category within the current calendar year.</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 </w:t>
      </w:r>
      <w:r w:rsidDel="00000000" w:rsidR="00000000" w:rsidRPr="00000000">
        <w:rPr>
          <w:rFonts w:ascii="Google Sans" w:cs="Google Sans" w:eastAsia="Google Sans" w:hAnsi="Google Sans"/>
          <w:color w:val="1f1f1f"/>
        </w:rPr>
        <w:drawing>
          <wp:inline distB="19050" distT="19050" distL="19050" distR="19050">
            <wp:extent cx="198537" cy="245808"/>
            <wp:effectExtent b="0" l="0" r="0" t="0"/>
            <wp:docPr id="10"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198537" cy="2458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the number of days spent actively in the Skilled category within the current calendar year.</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aggregates the temporal segments:</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29762"/>
            <wp:effectExtent b="0" l="0" r="0" t="0"/>
            <wp:docPr id="11"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905500" cy="629762"/>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calculation requires the.NET application to query the Employee_Temporal_History table, filter for records overlapping the current fiscal year, measure the duration of each bounded state (using ValidFrom and ValidTo), and apply the respective categorical base rates.</w:t>
      </w:r>
    </w:p>
    <w:p w:rsidR="00000000" w:rsidDel="00000000" w:rsidP="00000000" w:rsidRDefault="00000000" w:rsidRPr="00000000" w14:paraId="000000E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Structure for Leave Persistence</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performance, especially offline, recalculating this segmented logic every time a user views a dashboard is inefficient. The architecture introduces a persistence table for these calculations.</w:t>
      </w:r>
    </w:p>
    <w:p w:rsidR="00000000" w:rsidDel="00000000" w:rsidP="00000000" w:rsidRDefault="00000000" w:rsidRPr="00000000" w14:paraId="000000E6">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Employee_Leave_Balances</w:t>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Column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MySQL Data 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Oracle Data 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Constraints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LeaveID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BIGINT AUTO_INC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NUMBER IDENTITY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Key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Surrogate key.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GlobalEmployeeKey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CHAR(36)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RAW(16)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Foreign Key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Link to employee.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FiscalYear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NUMBER(4)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year (e.g.,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TotalEntitled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DECIMAL(5,2)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NUMBER(5,2)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dynamically calculated total.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TotalConsumed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DECIMAL(5,2)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NUMBER(5,2)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Amount of leave taken.</w:t>
            </w:r>
          </w:p>
        </w:tc>
      </w:tr>
    </w:tbl>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Whenever an event occurs that impacts leave (Joining, Promotion, Resignation), the ILeaveCalculationService computes the </w:t>
      </w:r>
      <w:r w:rsidDel="00000000" w:rsidR="00000000" w:rsidRPr="00000000">
        <w:rPr>
          <w:rFonts w:ascii="Google Sans" w:cs="Google Sans" w:eastAsia="Google Sans" w:hAnsi="Google Sans"/>
          <w:color w:val="1f1f1f"/>
        </w:rPr>
        <w:drawing>
          <wp:inline distB="19050" distT="19050" distL="19050" distR="19050">
            <wp:extent cx="1017832" cy="247324"/>
            <wp:effectExtent b="0" l="0" r="0" t="0"/>
            <wp:docPr id="13"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1017832" cy="2473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value and issues an UPDATE statement against TotalEntitled for the current FiscalYear.</w:t>
      </w:r>
    </w:p>
    <w:p w:rsidR="00000000" w:rsidDel="00000000" w:rsidP="00000000" w:rsidRDefault="00000000" w:rsidRPr="00000000" w14:paraId="000001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 Tracing, and Query Optimization</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an offline environment that processes daily attendance logs for potentially thousands of employees over multiple years, data volume can scale rapidly. An analysis of extreme data processing scenarios, such as those encountered in Snowflake environments processing billions of rows, emphasizes that pulling massive datasets without proper aggregation or pre-sorting results in catastrophic performance degradation.</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preempt localized database timeouts, the EF Core implementation must prioritize optimized queries. The architecture leverages.NET monitoring and tracing features. Integrating APM (Application Performance Monitoring) agents allows the engineering team to monitor the speed of outgoing EF Core queries even when the application is running in an offline capacity (dumping the telemetry to local logs for later upload).</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If a query calculating vendor headcounts exceeds expected latency thresholds (e.g., &gt;400ms), the system logs the slow query execution.</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complex analytical queries over the temporal history table, the architecture dictates the use of raw SQL integrations available in EF Core 7 and 8.</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FromSqlRaw and FromSqlInterpolated methods allow developers to bypass the standard LINQ-to-SQL translator and execute highly optimized, database-specific aggregate queries directly against the local MySQL instance, fetching scalar data directly without instantiating massive.NET object graphs.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Furthermore, EF Core 8 introduces advanced lazy-loading enhancements, including lazy-loading for no-tracking queries and explicit loading from untracked entities, ensuring that querying an employee's master record does not unnecessarily drag their entire multi-year history into RAM unless explicitly requested.</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10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Forward Compatibility and the Oracle Migration Horizon</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immediate operational architecture relies on localized MySQL deployments, the enterprise roadmap mandates an eventual migration to Oracle databases. Oracle SQL is engineered to store, retrieve, manage, and manipulate data inside highly secure, scalable relational databases utilized heavily by enterprise ERP applications and telecom billing systems.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decisions made in the.NET domain layer actively anticipate Oracle's structural constraints and proprietary optimizations.</w:t>
      </w:r>
    </w:p>
    <w:p w:rsidR="00000000" w:rsidDel="00000000" w:rsidP="00000000" w:rsidRDefault="00000000" w:rsidRPr="00000000" w14:paraId="0000010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Leveraging Oracle Specific EF Core Features</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the application is migrated, the Oracle.EntityFrameworkCore provider for EF Core 8 (and beyond) will introduce several native optimizations.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Concrete.NET mathematical types, such as double and float, utilizing methods like Math.Round or Math.Floor during the dynamic leave calculation process, can be natively translated by Oracle EF Core into Oracle SQL math translations.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allows the database engine to execute mass recalculations internally rather than pulling the data into the.NET memory space.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Oracle Database 21c and higher include comprehensive JSON document support, known as JSON Relational Duality.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If the attendance application is expanded to capture highly volatile, unstructured data (such as localized device telemetry or unformatted offline sync metadata), EF Core can map these.NET aggregates directly into native JSON columns within Oracle, whereas earlier versions would fall back to NCLOB storage.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11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Temporal Management via Oracle PL/SQL</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EF Core abstracts CRUD operations seamlessly, managing Slowly Changing Dimensions (SCD Type 2) across millions of offline-synced records can bottleneck the.NET application during mass batch synchronizations. Oracle PL/SQL (Procedural Language/Structured Query Language) extends traditional SQL capabilities by introducing advanced loops, triggers, stored procedures, and robust exception handling directly at the database tier.</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the migration to Oracle is complete, the architecture can dramatically optimize the temporal history logic by migrating the orchestration from C# to PL/SQL stored procedures.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Specifically, the database architecture will deploy the Oracle MERGE INTO statement.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MERGE statement acts as a highly optimized, atomic "upsert" mechanism.</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It is frequently employed in data warehousing for handling SCDs.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optimized PL/SQL syntax architecture for updating employee history within Oracle is structured as follows:</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highlight w:val="white"/>
        </w:rPr>
      </w:pPr>
      <w:r w:rsidDel="00000000" w:rsidR="00000000" w:rsidRPr="00000000">
        <w:rPr>
          <w:rFonts w:ascii="Google Sans" w:cs="Google Sans" w:eastAsia="Google Sans" w:hAnsi="Google Sans"/>
          <w:color w:val="ffffff"/>
          <w:highlight w:val="white"/>
          <w:rtl w:val="0"/>
        </w:rPr>
        <w:t xml:space="preserve">SQL</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highlight w:val="white"/>
        </w:rPr>
      </w:pPr>
      <w:r w:rsidDel="00000000" w:rsidR="00000000" w:rsidRPr="00000000">
        <w:rPr>
          <w:rFonts w:ascii="Google Sans" w:cs="Google Sans" w:eastAsia="Google Sans" w:hAnsi="Google Sans"/>
          <w:i w:val="0"/>
          <w:iCs w:val="0"/>
          <w:color w:val="969dff"/>
          <w:sz w:val="20"/>
          <w:szCs w:val="20"/>
          <w:highlight w:val="white"/>
          <w:rtl w:val="0"/>
        </w:rPr>
        <w:t xml:space="preserve">MERGE</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969dff"/>
          <w:sz w:val="20"/>
          <w:szCs w:val="20"/>
          <w:highlight w:val="white"/>
          <w:rtl w:val="0"/>
        </w:rPr>
        <w:t xml:space="preserve">INTO</w:t>
      </w:r>
      <w:r w:rsidDel="00000000" w:rsidR="00000000" w:rsidRPr="00000000">
        <w:rPr>
          <w:rFonts w:ascii="Google Sans" w:cs="Google Sans" w:eastAsia="Google Sans" w:hAnsi="Google Sans"/>
          <w:color w:val="1f1f1f"/>
          <w:highlight w:val="white"/>
          <w:rtl w:val="0"/>
        </w:rPr>
        <w:t xml:space="preserve"> Employee_Temporal_History TARGET</w:t>
        <w:br w:type="textWrapping"/>
      </w:r>
      <w:r w:rsidDel="00000000" w:rsidR="00000000" w:rsidRPr="00000000">
        <w:rPr>
          <w:rFonts w:ascii="Google Sans" w:cs="Google Sans" w:eastAsia="Google Sans" w:hAnsi="Google Sans"/>
          <w:i w:val="0"/>
          <w:iCs w:val="0"/>
          <w:color w:val="969dff"/>
          <w:sz w:val="20"/>
          <w:szCs w:val="20"/>
          <w:highlight w:val="white"/>
          <w:rtl w:val="0"/>
        </w:rPr>
        <w:t xml:space="preserve">USING</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969dff"/>
          <w:sz w:val="20"/>
          <w:szCs w:val="20"/>
          <w:highlight w:val="white"/>
          <w:rtl w:val="0"/>
        </w:rPr>
        <w:t xml:space="preserve">SELECT</w:t>
      </w:r>
      <w:r w:rsidDel="00000000" w:rsidR="00000000" w:rsidRPr="00000000">
        <w:rPr>
          <w:rFonts w:ascii="Google Sans" w:cs="Google Sans" w:eastAsia="Google Sans" w:hAnsi="Google Sans"/>
          <w:color w:val="1f1f1f"/>
          <w:highlight w:val="white"/>
          <w:rtl w:val="0"/>
        </w:rPr>
        <w:t xml:space="preserve"> GlobalEmployeeKey, VendorID, CurrentCategoryID </w:t>
      </w:r>
      <w:r w:rsidDel="00000000" w:rsidR="00000000" w:rsidRPr="00000000">
        <w:rPr>
          <w:rFonts w:ascii="Google Sans" w:cs="Google Sans" w:eastAsia="Google Sans" w:hAnsi="Google Sans"/>
          <w:i w:val="0"/>
          <w:iCs w:val="0"/>
          <w:color w:val="969dff"/>
          <w:sz w:val="20"/>
          <w:szCs w:val="20"/>
          <w:highlight w:val="white"/>
          <w:rtl w:val="0"/>
        </w:rPr>
        <w:t xml:space="preserve">FROM</w:t>
      </w:r>
      <w:r w:rsidDel="00000000" w:rsidR="00000000" w:rsidRPr="00000000">
        <w:rPr>
          <w:rFonts w:ascii="Google Sans" w:cs="Google Sans" w:eastAsia="Google Sans" w:hAnsi="Google Sans"/>
          <w:color w:val="1f1f1f"/>
          <w:highlight w:val="white"/>
          <w:rtl w:val="0"/>
        </w:rPr>
        <w:t xml:space="preserve"> Incoming_Offline_Sync_Data) SOURCE</w:t>
        <w:br w:type="textWrapping"/>
      </w:r>
      <w:r w:rsidDel="00000000" w:rsidR="00000000" w:rsidRPr="00000000">
        <w:rPr>
          <w:rFonts w:ascii="Google Sans" w:cs="Google Sans" w:eastAsia="Google Sans" w:hAnsi="Google Sans"/>
          <w:i w:val="0"/>
          <w:iCs w:val="0"/>
          <w:color w:val="969dff"/>
          <w:sz w:val="20"/>
          <w:szCs w:val="20"/>
          <w:highlight w:val="white"/>
          <w:rtl w:val="0"/>
        </w:rPr>
        <w:t xml:space="preserve">ON</w:t>
      </w:r>
      <w:r w:rsidDel="00000000" w:rsidR="00000000" w:rsidRPr="00000000">
        <w:rPr>
          <w:rFonts w:ascii="Google Sans" w:cs="Google Sans" w:eastAsia="Google Sans" w:hAnsi="Google Sans"/>
          <w:color w:val="1f1f1f"/>
          <w:highlight w:val="white"/>
          <w:rtl w:val="0"/>
        </w:rPr>
        <w:t xml:space="preserve"> (TARGET.GlobalEmployeeKey </w:t>
      </w:r>
      <w:r w:rsidDel="00000000" w:rsidR="00000000" w:rsidRPr="00000000">
        <w:rPr>
          <w:rFonts w:ascii="Google Sans" w:cs="Google Sans" w:eastAsia="Google Sans" w:hAnsi="Google Sans"/>
          <w:i w:val="0"/>
          <w:iCs w:val="0"/>
          <w:color w:val="ffffff"/>
          <w:sz w:val="20"/>
          <w:szCs w:val="20"/>
          <w:highlight w:val="white"/>
          <w:rtl w:val="0"/>
        </w:rPr>
        <w:t xml:space="preserve">=</w:t>
      </w:r>
      <w:r w:rsidDel="00000000" w:rsidR="00000000" w:rsidRPr="00000000">
        <w:rPr>
          <w:rFonts w:ascii="Google Sans" w:cs="Google Sans" w:eastAsia="Google Sans" w:hAnsi="Google Sans"/>
          <w:color w:val="1f1f1f"/>
          <w:highlight w:val="white"/>
          <w:rtl w:val="0"/>
        </w:rPr>
        <w:t xml:space="preserve"> SOURCE.GlobalEmployeeKey </w:t>
      </w:r>
      <w:r w:rsidDel="00000000" w:rsidR="00000000" w:rsidRPr="00000000">
        <w:rPr>
          <w:rFonts w:ascii="Google Sans" w:cs="Google Sans" w:eastAsia="Google Sans" w:hAnsi="Google Sans"/>
          <w:i w:val="0"/>
          <w:iCs w:val="0"/>
          <w:color w:val="969dff"/>
          <w:sz w:val="20"/>
          <w:szCs w:val="20"/>
          <w:highlight w:val="white"/>
          <w:rtl w:val="0"/>
        </w:rPr>
        <w:t xml:space="preserve">AND</w:t>
      </w:r>
      <w:r w:rsidDel="00000000" w:rsidR="00000000" w:rsidRPr="00000000">
        <w:rPr>
          <w:rFonts w:ascii="Google Sans" w:cs="Google Sans" w:eastAsia="Google Sans" w:hAnsi="Google Sans"/>
          <w:color w:val="1f1f1f"/>
          <w:highlight w:val="white"/>
          <w:rtl w:val="0"/>
        </w:rPr>
        <w:t xml:space="preserve"> TARGET.IsCurrent </w:t>
      </w:r>
      <w:r w:rsidDel="00000000" w:rsidR="00000000" w:rsidRPr="00000000">
        <w:rPr>
          <w:rFonts w:ascii="Google Sans" w:cs="Google Sans" w:eastAsia="Google Sans" w:hAnsi="Google Sans"/>
          <w:i w:val="0"/>
          <w:iCs w:val="0"/>
          <w:color w:val="ffffff"/>
          <w:sz w:val="20"/>
          <w:szCs w:val="20"/>
          <w:highlight w:val="white"/>
          <w:rtl w:val="0"/>
        </w:rPr>
        <w:t xml:space="preserve">=</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ff96da"/>
          <w:sz w:val="20"/>
          <w:szCs w:val="20"/>
          <w:highlight w:val="white"/>
          <w:rtl w:val="0"/>
        </w:rPr>
        <w:t xml:space="preserve">1</w:t>
      </w:r>
      <w:r w:rsidDel="00000000" w:rsidR="00000000" w:rsidRPr="00000000">
        <w:rPr>
          <w:rFonts w:ascii="Google Sans" w:cs="Google Sans" w:eastAsia="Google Sans" w:hAnsi="Google Sans"/>
          <w:color w:val="1f1f1f"/>
          <w:highlight w:val="white"/>
          <w:rtl w:val="0"/>
        </w:rPr>
        <w:t xml:space="preserve">)</w:t>
        <w:br w:type="textWrapping"/>
      </w:r>
      <w:r w:rsidDel="00000000" w:rsidR="00000000" w:rsidRPr="00000000">
        <w:rPr>
          <w:rFonts w:ascii="Google Sans" w:cs="Google Sans" w:eastAsia="Google Sans" w:hAnsi="Google Sans"/>
          <w:i w:val="0"/>
          <w:iCs w:val="0"/>
          <w:color w:val="969dff"/>
          <w:sz w:val="20"/>
          <w:szCs w:val="20"/>
          <w:highlight w:val="white"/>
          <w:rtl w:val="0"/>
        </w:rPr>
        <w:t xml:space="preserve">WHEN</w:t>
      </w:r>
      <w:r w:rsidDel="00000000" w:rsidR="00000000" w:rsidRPr="00000000">
        <w:rPr>
          <w:rFonts w:ascii="Google Sans" w:cs="Google Sans" w:eastAsia="Google Sans" w:hAnsi="Google Sans"/>
          <w:color w:val="1f1f1f"/>
          <w:highlight w:val="white"/>
          <w:rtl w:val="0"/>
        </w:rPr>
        <w:t xml:space="preserve"> MATCHED </w:t>
      </w:r>
      <w:r w:rsidDel="00000000" w:rsidR="00000000" w:rsidRPr="00000000">
        <w:rPr>
          <w:rFonts w:ascii="Google Sans" w:cs="Google Sans" w:eastAsia="Google Sans" w:hAnsi="Google Sans"/>
          <w:i w:val="0"/>
          <w:iCs w:val="0"/>
          <w:color w:val="969dff"/>
          <w:sz w:val="20"/>
          <w:szCs w:val="20"/>
          <w:highlight w:val="white"/>
          <w:rtl w:val="0"/>
        </w:rPr>
        <w:t xml:space="preserve">AND</w:t>
      </w:r>
      <w:r w:rsidDel="00000000" w:rsidR="00000000" w:rsidRPr="00000000">
        <w:rPr>
          <w:rFonts w:ascii="Google Sans" w:cs="Google Sans" w:eastAsia="Google Sans" w:hAnsi="Google Sans"/>
          <w:color w:val="1f1f1f"/>
          <w:highlight w:val="white"/>
          <w:rtl w:val="0"/>
        </w:rPr>
        <w:t xml:space="preserve"> (TARGET.VendorID </w:t>
      </w:r>
      <w:r w:rsidDel="00000000" w:rsidR="00000000" w:rsidRPr="00000000">
        <w:rPr>
          <w:rFonts w:ascii="Google Sans" w:cs="Google Sans" w:eastAsia="Google Sans" w:hAnsi="Google Sans"/>
          <w:i w:val="0"/>
          <w:iCs w:val="0"/>
          <w:color w:val="ffffff"/>
          <w:sz w:val="20"/>
          <w:szCs w:val="20"/>
          <w:highlight w:val="white"/>
          <w:rtl w:val="0"/>
        </w:rPr>
        <w:t xml:space="preserve">&lt;&gt;</w:t>
      </w:r>
      <w:r w:rsidDel="00000000" w:rsidR="00000000" w:rsidRPr="00000000">
        <w:rPr>
          <w:rFonts w:ascii="Google Sans" w:cs="Google Sans" w:eastAsia="Google Sans" w:hAnsi="Google Sans"/>
          <w:color w:val="1f1f1f"/>
          <w:highlight w:val="white"/>
          <w:rtl w:val="0"/>
        </w:rPr>
        <w:t xml:space="preserve"> SOURCE.VendorID </w:t>
      </w:r>
      <w:r w:rsidDel="00000000" w:rsidR="00000000" w:rsidRPr="00000000">
        <w:rPr>
          <w:rFonts w:ascii="Google Sans" w:cs="Google Sans" w:eastAsia="Google Sans" w:hAnsi="Google Sans"/>
          <w:i w:val="0"/>
          <w:iCs w:val="0"/>
          <w:color w:val="969dff"/>
          <w:sz w:val="20"/>
          <w:szCs w:val="20"/>
          <w:highlight w:val="white"/>
          <w:rtl w:val="0"/>
        </w:rPr>
        <w:t xml:space="preserve">OR</w:t>
      </w:r>
      <w:r w:rsidDel="00000000" w:rsidR="00000000" w:rsidRPr="00000000">
        <w:rPr>
          <w:rFonts w:ascii="Google Sans" w:cs="Google Sans" w:eastAsia="Google Sans" w:hAnsi="Google Sans"/>
          <w:color w:val="1f1f1f"/>
          <w:highlight w:val="white"/>
          <w:rtl w:val="0"/>
        </w:rPr>
        <w:t xml:space="preserve"> TARGET.CurrentCategoryID </w:t>
      </w:r>
      <w:r w:rsidDel="00000000" w:rsidR="00000000" w:rsidRPr="00000000">
        <w:rPr>
          <w:rFonts w:ascii="Google Sans" w:cs="Google Sans" w:eastAsia="Google Sans" w:hAnsi="Google Sans"/>
          <w:i w:val="0"/>
          <w:iCs w:val="0"/>
          <w:color w:val="ffffff"/>
          <w:sz w:val="20"/>
          <w:szCs w:val="20"/>
          <w:highlight w:val="white"/>
          <w:rtl w:val="0"/>
        </w:rPr>
        <w:t xml:space="preserve">&lt;&gt;</w:t>
      </w:r>
      <w:r w:rsidDel="00000000" w:rsidR="00000000" w:rsidRPr="00000000">
        <w:rPr>
          <w:rFonts w:ascii="Google Sans" w:cs="Google Sans" w:eastAsia="Google Sans" w:hAnsi="Google Sans"/>
          <w:color w:val="1f1f1f"/>
          <w:highlight w:val="white"/>
          <w:rtl w:val="0"/>
        </w:rPr>
        <w:t xml:space="preserve"> SOURCE.CurrentCategoryID) </w:t>
      </w:r>
      <w:r w:rsidDel="00000000" w:rsidR="00000000" w:rsidRPr="00000000">
        <w:rPr>
          <w:rFonts w:ascii="Google Sans" w:cs="Google Sans" w:eastAsia="Google Sans" w:hAnsi="Google Sans"/>
          <w:i w:val="0"/>
          <w:iCs w:val="0"/>
          <w:color w:val="969dff"/>
          <w:sz w:val="20"/>
          <w:szCs w:val="20"/>
          <w:highlight w:val="white"/>
          <w:rtl w:val="0"/>
        </w:rPr>
        <w:t xml:space="preserve">THEN</w:t>
      </w:r>
      <w:r w:rsidDel="00000000" w:rsidR="00000000" w:rsidRPr="00000000">
        <w:rPr>
          <w:rFonts w:ascii="Google Sans" w:cs="Google Sans" w:eastAsia="Google Sans" w:hAnsi="Google Sans"/>
          <w:color w:val="1f1f1f"/>
          <w:highlight w:val="white"/>
          <w:rtl w:val="0"/>
        </w:rPr>
        <w:br w:type="textWrapping"/>
        <w:t xml:space="preserve">    </w:t>
      </w:r>
      <w:r w:rsidDel="00000000" w:rsidR="00000000" w:rsidRPr="00000000">
        <w:rPr>
          <w:rFonts w:ascii="Google Sans" w:cs="Google Sans" w:eastAsia="Google Sans" w:hAnsi="Google Sans"/>
          <w:i w:val="0"/>
          <w:iCs w:val="0"/>
          <w:color w:val="808080"/>
          <w:sz w:val="20"/>
          <w:szCs w:val="20"/>
          <w:highlight w:val="white"/>
          <w:rtl w:val="0"/>
        </w:rPr>
        <w:t xml:space="preserve">-- A MATCH indicates the employee exists and has active history. </w:t>
      </w:r>
      <w:r w:rsidDel="00000000" w:rsidR="00000000" w:rsidRPr="00000000">
        <w:rPr>
          <w:rFonts w:ascii="Google Sans" w:cs="Google Sans" w:eastAsia="Google Sans" w:hAnsi="Google Sans"/>
          <w:color w:val="1f1f1f"/>
          <w:highlight w:val="white"/>
          <w:rtl w:val="0"/>
        </w:rPr>
        <w:br w:type="textWrapping"/>
        <w:t xml:space="preserve">    </w:t>
      </w:r>
      <w:r w:rsidDel="00000000" w:rsidR="00000000" w:rsidRPr="00000000">
        <w:rPr>
          <w:rFonts w:ascii="Google Sans" w:cs="Google Sans" w:eastAsia="Google Sans" w:hAnsi="Google Sans"/>
          <w:i w:val="0"/>
          <w:iCs w:val="0"/>
          <w:color w:val="808080"/>
          <w:sz w:val="20"/>
          <w:szCs w:val="20"/>
          <w:highlight w:val="white"/>
          <w:rtl w:val="0"/>
        </w:rPr>
        <w:t xml:space="preserve">-- If attributes differ, the trigger executes an UPDATE to close the current record.</w:t>
      </w:r>
      <w:r w:rsidDel="00000000" w:rsidR="00000000" w:rsidRPr="00000000">
        <w:rPr>
          <w:rFonts w:ascii="Google Sans" w:cs="Google Sans" w:eastAsia="Google Sans" w:hAnsi="Google Sans"/>
          <w:color w:val="1f1f1f"/>
          <w:highlight w:val="white"/>
          <w:rtl w:val="0"/>
        </w:rPr>
        <w:br w:type="textWrapping"/>
        <w:t xml:space="preserve">    UPDATE </w:t>
      </w:r>
      <w:r w:rsidDel="00000000" w:rsidR="00000000" w:rsidRPr="00000000">
        <w:rPr>
          <w:rFonts w:ascii="Google Sans" w:cs="Google Sans" w:eastAsia="Google Sans" w:hAnsi="Google Sans"/>
          <w:i w:val="0"/>
          <w:iCs w:val="0"/>
          <w:color w:val="969dff"/>
          <w:sz w:val="20"/>
          <w:szCs w:val="20"/>
          <w:highlight w:val="white"/>
          <w:rtl w:val="0"/>
        </w:rPr>
        <w:t xml:space="preserve">SET</w:t>
      </w:r>
      <w:r w:rsidDel="00000000" w:rsidR="00000000" w:rsidRPr="00000000">
        <w:rPr>
          <w:rFonts w:ascii="Google Sans" w:cs="Google Sans" w:eastAsia="Google Sans" w:hAnsi="Google Sans"/>
          <w:color w:val="1f1f1f"/>
          <w:highlight w:val="white"/>
          <w:rtl w:val="0"/>
        </w:rPr>
        <w:t xml:space="preserve"> TARGET.ValidTo </w:t>
      </w:r>
      <w:r w:rsidDel="00000000" w:rsidR="00000000" w:rsidRPr="00000000">
        <w:rPr>
          <w:rFonts w:ascii="Google Sans" w:cs="Google Sans" w:eastAsia="Google Sans" w:hAnsi="Google Sans"/>
          <w:i w:val="0"/>
          <w:iCs w:val="0"/>
          <w:color w:val="ffffff"/>
          <w:sz w:val="20"/>
          <w:szCs w:val="20"/>
          <w:highlight w:val="white"/>
          <w:rtl w:val="0"/>
        </w:rPr>
        <w:t xml:space="preserve">=</w:t>
      </w:r>
      <w:r w:rsidDel="00000000" w:rsidR="00000000" w:rsidRPr="00000000">
        <w:rPr>
          <w:rFonts w:ascii="Google Sans" w:cs="Google Sans" w:eastAsia="Google Sans" w:hAnsi="Google Sans"/>
          <w:color w:val="1f1f1f"/>
          <w:highlight w:val="white"/>
          <w:rtl w:val="0"/>
        </w:rPr>
        <w:t xml:space="preserve"> SYSTIMESTAMP, TARGET.IsCurrent </w:t>
      </w:r>
      <w:r w:rsidDel="00000000" w:rsidR="00000000" w:rsidRPr="00000000">
        <w:rPr>
          <w:rFonts w:ascii="Google Sans" w:cs="Google Sans" w:eastAsia="Google Sans" w:hAnsi="Google Sans"/>
          <w:i w:val="0"/>
          <w:iCs w:val="0"/>
          <w:color w:val="ffffff"/>
          <w:sz w:val="20"/>
          <w:szCs w:val="20"/>
          <w:highlight w:val="white"/>
          <w:rtl w:val="0"/>
        </w:rPr>
        <w:t xml:space="preserve">=</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ff96da"/>
          <w:sz w:val="20"/>
          <w:szCs w:val="20"/>
          <w:highlight w:val="white"/>
          <w:rtl w:val="0"/>
        </w:rPr>
        <w:t xml:space="preserve">0</w:t>
      </w:r>
      <w:r w:rsidDel="00000000" w:rsidR="00000000" w:rsidRPr="00000000">
        <w:rPr>
          <w:rFonts w:ascii="Google Sans" w:cs="Google Sans" w:eastAsia="Google Sans" w:hAnsi="Google Sans"/>
          <w:color w:val="1f1f1f"/>
          <w:highlight w:val="white"/>
          <w:rtl w:val="0"/>
        </w:rPr>
        <w:br w:type="textWrapping"/>
      </w:r>
      <w:r w:rsidDel="00000000" w:rsidR="00000000" w:rsidRPr="00000000">
        <w:rPr>
          <w:rFonts w:ascii="Google Sans" w:cs="Google Sans" w:eastAsia="Google Sans" w:hAnsi="Google Sans"/>
          <w:i w:val="0"/>
          <w:iCs w:val="0"/>
          <w:color w:val="969dff"/>
          <w:sz w:val="20"/>
          <w:szCs w:val="20"/>
          <w:highlight w:val="white"/>
          <w:rtl w:val="0"/>
        </w:rPr>
        <w:t xml:space="preserve">WHEN</w:t>
      </w:r>
      <w:r w:rsidDel="00000000" w:rsidR="00000000" w:rsidRPr="00000000">
        <w:rPr>
          <w:rFonts w:ascii="Google Sans" w:cs="Google Sans" w:eastAsia="Google Sans" w:hAnsi="Google Sans"/>
          <w:color w:val="1f1f1f"/>
          <w:highlight w:val="white"/>
          <w:rtl w:val="0"/>
        </w:rPr>
        <w:t xml:space="preserve"> </w:t>
      </w:r>
      <w:r w:rsidDel="00000000" w:rsidR="00000000" w:rsidRPr="00000000">
        <w:rPr>
          <w:rFonts w:ascii="Google Sans" w:cs="Google Sans" w:eastAsia="Google Sans" w:hAnsi="Google Sans"/>
          <w:i w:val="0"/>
          <w:iCs w:val="0"/>
          <w:color w:val="969dff"/>
          <w:sz w:val="20"/>
          <w:szCs w:val="20"/>
          <w:highlight w:val="white"/>
          <w:rtl w:val="0"/>
        </w:rPr>
        <w:t xml:space="preserve">NOT</w:t>
      </w:r>
      <w:r w:rsidDel="00000000" w:rsidR="00000000" w:rsidRPr="00000000">
        <w:rPr>
          <w:rFonts w:ascii="Google Sans" w:cs="Google Sans" w:eastAsia="Google Sans" w:hAnsi="Google Sans"/>
          <w:color w:val="1f1f1f"/>
          <w:highlight w:val="white"/>
          <w:rtl w:val="0"/>
        </w:rPr>
        <w:t xml:space="preserve"> MATCHED </w:t>
      </w:r>
      <w:r w:rsidDel="00000000" w:rsidR="00000000" w:rsidRPr="00000000">
        <w:rPr>
          <w:rFonts w:ascii="Google Sans" w:cs="Google Sans" w:eastAsia="Google Sans" w:hAnsi="Google Sans"/>
          <w:i w:val="0"/>
          <w:iCs w:val="0"/>
          <w:color w:val="969dff"/>
          <w:sz w:val="20"/>
          <w:szCs w:val="20"/>
          <w:highlight w:val="white"/>
          <w:rtl w:val="0"/>
        </w:rPr>
        <w:t xml:space="preserve">THEN</w:t>
      </w:r>
      <w:r w:rsidDel="00000000" w:rsidR="00000000" w:rsidRPr="00000000">
        <w:rPr>
          <w:rFonts w:ascii="Google Sans" w:cs="Google Sans" w:eastAsia="Google Sans" w:hAnsi="Google Sans"/>
          <w:color w:val="1f1f1f"/>
          <w:highlight w:val="white"/>
          <w:rtl w:val="0"/>
        </w:rPr>
        <w:br w:type="textWrapping"/>
        <w:t xml:space="preserve">    </w:t>
      </w:r>
      <w:r w:rsidDel="00000000" w:rsidR="00000000" w:rsidRPr="00000000">
        <w:rPr>
          <w:rFonts w:ascii="Google Sans" w:cs="Google Sans" w:eastAsia="Google Sans" w:hAnsi="Google Sans"/>
          <w:i w:val="0"/>
          <w:iCs w:val="0"/>
          <w:color w:val="808080"/>
          <w:sz w:val="20"/>
          <w:szCs w:val="20"/>
          <w:highlight w:val="white"/>
          <w:rtl w:val="0"/>
        </w:rPr>
        <w:t xml:space="preserve">-- A NOT MATCHED condition processes the insertion of a new employee baseline.</w:t>
      </w:r>
      <w:r w:rsidDel="00000000" w:rsidR="00000000" w:rsidRPr="00000000">
        <w:rPr>
          <w:rFonts w:ascii="Google Sans" w:cs="Google Sans" w:eastAsia="Google Sans" w:hAnsi="Google Sans"/>
          <w:color w:val="1f1f1f"/>
          <w:highlight w:val="white"/>
          <w:rtl w:val="0"/>
        </w:rPr>
        <w:br w:type="textWrapping"/>
        <w:t xml:space="preserve">    </w:t>
      </w:r>
      <w:r w:rsidDel="00000000" w:rsidR="00000000" w:rsidRPr="00000000">
        <w:rPr>
          <w:rFonts w:ascii="Google Sans" w:cs="Google Sans" w:eastAsia="Google Sans" w:hAnsi="Google Sans"/>
          <w:i w:val="0"/>
          <w:iCs w:val="0"/>
          <w:color w:val="969dff"/>
          <w:sz w:val="20"/>
          <w:szCs w:val="20"/>
          <w:highlight w:val="white"/>
          <w:rtl w:val="0"/>
        </w:rPr>
        <w:t xml:space="preserve">INSERT</w:t>
      </w:r>
      <w:r w:rsidDel="00000000" w:rsidR="00000000" w:rsidRPr="00000000">
        <w:rPr>
          <w:rFonts w:ascii="Google Sans" w:cs="Google Sans" w:eastAsia="Google Sans" w:hAnsi="Google Sans"/>
          <w:color w:val="1f1f1f"/>
          <w:highlight w:val="white"/>
          <w:rtl w:val="0"/>
        </w:rPr>
        <w:t xml:space="preserve"> (GlobalEmployeeKey, VendorID, CurrentCategoryID, ValidFrom, IsCurrent)</w:t>
        <w:br w:type="textWrapping"/>
        <w:t xml:space="preserve">    </w:t>
      </w:r>
      <w:r w:rsidDel="00000000" w:rsidR="00000000" w:rsidRPr="00000000">
        <w:rPr>
          <w:rFonts w:ascii="Google Sans" w:cs="Google Sans" w:eastAsia="Google Sans" w:hAnsi="Google Sans"/>
          <w:i w:val="0"/>
          <w:iCs w:val="0"/>
          <w:color w:val="969dff"/>
          <w:sz w:val="20"/>
          <w:szCs w:val="20"/>
          <w:highlight w:val="white"/>
          <w:rtl w:val="0"/>
        </w:rPr>
        <w:t xml:space="preserve">VALUES</w:t>
      </w:r>
      <w:r w:rsidDel="00000000" w:rsidR="00000000" w:rsidRPr="00000000">
        <w:rPr>
          <w:rFonts w:ascii="Google Sans" w:cs="Google Sans" w:eastAsia="Google Sans" w:hAnsi="Google Sans"/>
          <w:color w:val="1f1f1f"/>
          <w:highlight w:val="white"/>
          <w:rtl w:val="0"/>
        </w:rPr>
        <w:t xml:space="preserve"> (SOURCE.GlobalEmployeeKey, SOURCE.VendorID, SOURCE.CurrentCategoryID, SYSTIMESTAMP, </w:t>
      </w:r>
      <w:r w:rsidDel="00000000" w:rsidR="00000000" w:rsidRPr="00000000">
        <w:rPr>
          <w:rFonts w:ascii="Google Sans" w:cs="Google Sans" w:eastAsia="Google Sans" w:hAnsi="Google Sans"/>
          <w:i w:val="0"/>
          <w:iCs w:val="0"/>
          <w:color w:val="ff96da"/>
          <w:sz w:val="20"/>
          <w:szCs w:val="20"/>
          <w:highlight w:val="white"/>
          <w:rtl w:val="0"/>
        </w:rPr>
        <w:t xml:space="preserve">1</w:t>
      </w:r>
      <w:r w:rsidDel="00000000" w:rsidR="00000000" w:rsidRPr="00000000">
        <w:rPr>
          <w:rFonts w:ascii="Google Sans" w:cs="Google Sans" w:eastAsia="Google Sans" w:hAnsi="Google Sans"/>
          <w:color w:val="1f1f1f"/>
          <w:highlight w:val="white"/>
          <w:rtl w:val="0"/>
        </w:rPr>
        <w:t xml:space="preserve">);</w:t>
        <w:br w:type="textWrapping"/>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anticipating the capability to transition complex temporal updates to MERGE statements, the initial C# domain layer is constructed with distinct service boundaries, allowing the development team to seamlessly deprecate the C# orchestration logic in favor of high-performance Oracle procedures without altering the UI or underlying data models.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11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Flexible Database Design Approach</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ensure the.NET application remains insulated from vendor lock-in and can smoothly transition between MySQL and Oracle, the development team must adopt the "flexible approach" to database design.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 a rigid Code-First methodology, the database is generated purely from.NET code, which reduces redundant code but complicates the integration of database-specific features like the aforementioned PL/SQL triggers.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Conversely, the DB-First methodology, which auto-generates entity classes from an existing database, becomes highly error-prone during the rapid iteration phases typical of feature expansion.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flexible approach decouples the strict ORM mapping from specialized database tuning.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EF Core migrations govern the baseline relational definitions, the table creations, and the structural application of SCD Type 2. However, database-specific constructs—such as Oracle-specific PL/SQL MERGE statements or MySQL-specific localized indexing optimizations—are explicitly defined in custom SQL scripts executed within the migration pipeline's Up() and Down() builder methods. This layered architecture guarantees that the application retains the agility of Code-First development while still harnessing the raw, proprietary performance capabilities of both MySQL and Oracle.</w:t>
      </w:r>
    </w:p>
    <w:p w:rsidR="00000000" w:rsidDel="00000000" w:rsidP="00000000" w:rsidRDefault="00000000" w:rsidRPr="00000000" w14:paraId="0000011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blueprint detailed herein establishes a highly resilient, enterprise-grade framework for the attendance tracking application, meticulously designed to resolve the complex interplay of offline processing, multi-database abstraction, and advanced temporal data engineering. By deeply integrating the principles of Entity Framework Core provider abstraction and distinct migration assemblies, the application ensures that the current MySQL edge environments operate with optimal efficiency while preserving a mathematically and structurally sound pathway for the eventual Oracle infrastructure migration.</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structural evolution from a static relational topology to one governed by Slowly Changing Dimensions (SCD Type 2) successfully resolves the intricate domain requirements of tracking vendor contract dynamics, managing continuous employee auditing, and preserving temporal boundaries for promotions and resignations. This is achieved without compromising the highly specific business constraint regarding categorized, repeating employee identifiers, relying securely on immutable surrogate UUIDs and localized composite indexing.</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Finally, by embedding rigorous continuous mathematical proration formulas and segmented accrual logic within an isolated.NET domain service layer, the architecture accurately automates dynamic leave allocation. This ensures that the human resources analytics remain consistent, precise, heavily resistant to localized data corruption, and entirely agnostic to the underlying database engine, delivering a modernized architecture capable of scaling securely into the future.</w:t>
      </w:r>
    </w:p>
    <w:p w:rsidR="00000000" w:rsidDel="00000000" w:rsidP="00000000" w:rsidRDefault="00000000" w:rsidRPr="00000000" w14:paraId="0000012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2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github.com, accessed May 30, 2026, </w:t>
      </w:r>
      <w:hyperlink r:id="rId19">
        <w:r w:rsidDel="00000000" w:rsidR="00000000" w:rsidRPr="00000000">
          <w:rPr>
            <w:rFonts w:ascii="Google Sans" w:cs="Google Sans" w:eastAsia="Google Sans" w:hAnsi="Google Sans"/>
            <w:color w:val="0000ee"/>
            <w:sz w:val="24"/>
            <w:szCs w:val="24"/>
            <w:u w:val="single"/>
            <w:rtl w:val="0"/>
          </w:rPr>
          <w:t xml:space="preserve">https://github.com/Yajnesh302/attendance2/blob/main/system_architecture_overview.md</w:t>
        </w:r>
      </w:hyperlink>
      <w:r w:rsidDel="00000000" w:rsidR="00000000" w:rsidRPr="00000000">
        <w:rPr>
          <w:rtl w:val="0"/>
        </w:rPr>
      </w:r>
    </w:p>
    <w:p w:rsidR="00000000" w:rsidDel="00000000" w:rsidP="00000000" w:rsidRDefault="00000000" w:rsidRPr="00000000" w14:paraId="0000012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Hardware Management Information System, accessed May 30, 2026, </w:t>
      </w:r>
      <w:hyperlink r:id="rId20">
        <w:r w:rsidDel="00000000" w:rsidR="00000000" w:rsidRPr="00000000">
          <w:rPr>
            <w:rFonts w:ascii="Google Sans" w:cs="Google Sans" w:eastAsia="Google Sans" w:hAnsi="Google Sans"/>
            <w:color w:val="0000ee"/>
            <w:sz w:val="24"/>
            <w:szCs w:val="24"/>
            <w:u w:val="single"/>
            <w:rtl w:val="0"/>
          </w:rPr>
          <w:t xml:space="preserve">https://dl.ucsc.cmb.ac.lk/jspui/bitstream/123456789/4085/1/Hardware%20Management%20%20Information%20System-14550044.pdf</w:t>
        </w:r>
      </w:hyperlink>
      <w:r w:rsidDel="00000000" w:rsidR="00000000" w:rsidRPr="00000000">
        <w:rPr>
          <w:rtl w:val="0"/>
        </w:rPr>
      </w:r>
    </w:p>
    <w:p w:rsidR="00000000" w:rsidDel="00000000" w:rsidP="00000000" w:rsidRDefault="00000000" w:rsidRPr="00000000" w14:paraId="0000012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Connecting MySQL Database with EF Core in .NET Core | by Jing Li | Chat2DB - Medium, accessed May 30, 2026, </w:t>
      </w:r>
      <w:hyperlink r:id="rId21">
        <w:r w:rsidDel="00000000" w:rsidR="00000000" w:rsidRPr="00000000">
          <w:rPr>
            <w:rFonts w:ascii="Google Sans" w:cs="Google Sans" w:eastAsia="Google Sans" w:hAnsi="Google Sans"/>
            <w:color w:val="0000ee"/>
            <w:sz w:val="24"/>
            <w:szCs w:val="24"/>
            <w:u w:val="single"/>
            <w:rtl w:val="0"/>
          </w:rPr>
          <w:t xml:space="preserve">https://medium.com/chat2db/connecting-mysql-database-with-ef-core-in-net-core-b800873dd0ae</w:t>
        </w:r>
      </w:hyperlink>
      <w:r w:rsidDel="00000000" w:rsidR="00000000" w:rsidRPr="00000000">
        <w:rPr>
          <w:rtl w:val="0"/>
        </w:rPr>
      </w:r>
    </w:p>
    <w:p w:rsidR="00000000" w:rsidDel="00000000" w:rsidP="00000000" w:rsidRDefault="00000000" w:rsidRPr="00000000" w14:paraId="0000012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Database Providers - EF Core - Microsoft Learn, accessed May 30, 2026, </w:t>
      </w:r>
      <w:hyperlink r:id="rId22">
        <w:r w:rsidDel="00000000" w:rsidR="00000000" w:rsidRPr="00000000">
          <w:rPr>
            <w:rFonts w:ascii="Google Sans" w:cs="Google Sans" w:eastAsia="Google Sans" w:hAnsi="Google Sans"/>
            <w:color w:val="0000ee"/>
            <w:sz w:val="24"/>
            <w:szCs w:val="24"/>
            <w:u w:val="single"/>
            <w:rtl w:val="0"/>
          </w:rPr>
          <w:t xml:space="preserve">https://learn.microsoft.com/en-us/ef/core/providers/</w:t>
        </w:r>
      </w:hyperlink>
      <w:r w:rsidDel="00000000" w:rsidR="00000000" w:rsidRPr="00000000">
        <w:rPr>
          <w:rtl w:val="0"/>
        </w:rPr>
      </w:r>
    </w:p>
    <w:p w:rsidR="00000000" w:rsidDel="00000000" w:rsidP="00000000" w:rsidRDefault="00000000" w:rsidRPr="00000000" w14:paraId="0000012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Entity Framework Core and Multiple Database Providers | The .NET Tools Blog, accessed May 30, 2026, </w:t>
      </w:r>
      <w:hyperlink r:id="rId23">
        <w:r w:rsidDel="00000000" w:rsidR="00000000" w:rsidRPr="00000000">
          <w:rPr>
            <w:rFonts w:ascii="Google Sans" w:cs="Google Sans" w:eastAsia="Google Sans" w:hAnsi="Google Sans"/>
            <w:color w:val="0000ee"/>
            <w:sz w:val="24"/>
            <w:szCs w:val="24"/>
            <w:u w:val="single"/>
            <w:rtl w:val="0"/>
          </w:rPr>
          <w:t xml:space="preserve">https://blog.jetbrains.com/dotnet/2022/08/24/entity-framework-core-and-multiple-database-providers/</w:t>
        </w:r>
      </w:hyperlink>
      <w:r w:rsidDel="00000000" w:rsidR="00000000" w:rsidRPr="00000000">
        <w:rPr>
          <w:rtl w:val="0"/>
        </w:rPr>
      </w:r>
    </w:p>
    <w:p w:rsidR="00000000" w:rsidDel="00000000" w:rsidP="00000000" w:rsidRDefault="00000000" w:rsidRPr="00000000" w14:paraId="0000012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Multiple DbContext in EF Core 10 - Scenarios, Setup &amp; Migrations - codewithmukesh, accessed May 30, 2026, </w:t>
      </w:r>
      <w:hyperlink r:id="rId24">
        <w:r w:rsidDel="00000000" w:rsidR="00000000" w:rsidRPr="00000000">
          <w:rPr>
            <w:rFonts w:ascii="Google Sans" w:cs="Google Sans" w:eastAsia="Google Sans" w:hAnsi="Google Sans"/>
            <w:color w:val="0000ee"/>
            <w:sz w:val="24"/>
            <w:szCs w:val="24"/>
            <w:u w:val="single"/>
            <w:rtl w:val="0"/>
          </w:rPr>
          <w:t xml:space="preserve">https://codewithmukesh.com/blog/multiple-dbcontext-efcore/</w:t>
        </w:r>
      </w:hyperlink>
      <w:r w:rsidDel="00000000" w:rsidR="00000000" w:rsidRPr="00000000">
        <w:rPr>
          <w:rtl w:val="0"/>
        </w:rPr>
      </w:r>
    </w:p>
    <w:p w:rsidR="00000000" w:rsidDel="00000000" w:rsidP="00000000" w:rsidRDefault="00000000" w:rsidRPr="00000000" w14:paraId="0000012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Multiple DB Providers. One Context Multiple Databases (ASPNET… | by Aniekan Jr, accessed May 30, 2026, </w:t>
      </w:r>
      <w:hyperlink r:id="rId25">
        <w:r w:rsidDel="00000000" w:rsidR="00000000" w:rsidRPr="00000000">
          <w:rPr>
            <w:rFonts w:ascii="Google Sans" w:cs="Google Sans" w:eastAsia="Google Sans" w:hAnsi="Google Sans"/>
            <w:color w:val="0000ee"/>
            <w:sz w:val="24"/>
            <w:szCs w:val="24"/>
            <w:u w:val="single"/>
            <w:rtl w:val="0"/>
          </w:rPr>
          <w:t xml:space="preserve">https://aniekanjr.medium.com/multiple-db-providers-b038cf4fae3</w:t>
        </w:r>
      </w:hyperlink>
      <w:r w:rsidDel="00000000" w:rsidR="00000000" w:rsidRPr="00000000">
        <w:rPr>
          <w:rtl w:val="0"/>
        </w:rPr>
      </w:r>
    </w:p>
    <w:p w:rsidR="00000000" w:rsidDel="00000000" w:rsidP="00000000" w:rsidRDefault="00000000" w:rsidRPr="00000000" w14:paraId="0000012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Migrations For Multiple Databases in EF Core - Anton DevTips, accessed May 30, 2026, </w:t>
      </w:r>
      <w:hyperlink r:id="rId26">
        <w:r w:rsidDel="00000000" w:rsidR="00000000" w:rsidRPr="00000000">
          <w:rPr>
            <w:rFonts w:ascii="Google Sans" w:cs="Google Sans" w:eastAsia="Google Sans" w:hAnsi="Google Sans"/>
            <w:color w:val="0000ee"/>
            <w:sz w:val="24"/>
            <w:szCs w:val="24"/>
            <w:u w:val="single"/>
            <w:rtl w:val="0"/>
          </w:rPr>
          <w:t xml:space="preserve">https://antondevtips.com/blog/how-to-create-migrations-for-multiple-databases-in-ef-core</w:t>
        </w:r>
      </w:hyperlink>
      <w:r w:rsidDel="00000000" w:rsidR="00000000" w:rsidRPr="00000000">
        <w:rPr>
          <w:rtl w:val="0"/>
        </w:rPr>
      </w:r>
    </w:p>
    <w:p w:rsidR="00000000" w:rsidDel="00000000" w:rsidP="00000000" w:rsidRDefault="00000000" w:rsidRPr="00000000" w14:paraId="0000012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there another package that supports Entity Framework (EF) and MySQL together allot of outdated packages. : r/dotnet - Reddit, accessed May 30, 2026, </w:t>
      </w:r>
      <w:hyperlink r:id="rId27">
        <w:r w:rsidDel="00000000" w:rsidR="00000000" w:rsidRPr="00000000">
          <w:rPr>
            <w:rFonts w:ascii="Google Sans" w:cs="Google Sans" w:eastAsia="Google Sans" w:hAnsi="Google Sans"/>
            <w:color w:val="0000ee"/>
            <w:sz w:val="24"/>
            <w:szCs w:val="24"/>
            <w:u w:val="single"/>
            <w:rtl w:val="0"/>
          </w:rPr>
          <w:t xml:space="preserve">https://www.reddit.com/r/dotnet/comments/1lxp79y/is_there_another_package_that_supports_entity/</w:t>
        </w:r>
      </w:hyperlink>
      <w:r w:rsidDel="00000000" w:rsidR="00000000" w:rsidRPr="00000000">
        <w:rPr>
          <w:rtl w:val="0"/>
        </w:rPr>
      </w:r>
    </w:p>
    <w:p w:rsidR="00000000" w:rsidDel="00000000" w:rsidP="00000000" w:rsidRDefault="00000000" w:rsidRPr="00000000" w14:paraId="0000012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Oracle Entity Framework Core 8 Features, accessed May 30, 2026, </w:t>
      </w:r>
      <w:hyperlink r:id="rId28">
        <w:r w:rsidDel="00000000" w:rsidR="00000000" w:rsidRPr="00000000">
          <w:rPr>
            <w:rFonts w:ascii="Google Sans" w:cs="Google Sans" w:eastAsia="Google Sans" w:hAnsi="Google Sans"/>
            <w:color w:val="0000ee"/>
            <w:sz w:val="24"/>
            <w:szCs w:val="24"/>
            <w:u w:val="single"/>
            <w:rtl w:val="0"/>
          </w:rPr>
          <w:t xml:space="preserve">https://docs.oracle.com/en/database/oracle/oracle-database/26/odpnt/EFCore8features.html</w:t>
        </w:r>
      </w:hyperlink>
      <w:r w:rsidDel="00000000" w:rsidR="00000000" w:rsidRPr="00000000">
        <w:rPr>
          <w:rtl w:val="0"/>
        </w:rPr>
      </w:r>
    </w:p>
    <w:p w:rsidR="00000000" w:rsidDel="00000000" w:rsidP="00000000" w:rsidRDefault="00000000" w:rsidRPr="00000000" w14:paraId="0000012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Migrations with Multiple Providers - EF Core | Microsoft Learn, accessed May 30, 2026, </w:t>
      </w:r>
      <w:hyperlink r:id="rId29">
        <w:r w:rsidDel="00000000" w:rsidR="00000000" w:rsidRPr="00000000">
          <w:rPr>
            <w:rFonts w:ascii="Google Sans" w:cs="Google Sans" w:eastAsia="Google Sans" w:hAnsi="Google Sans"/>
            <w:color w:val="0000ee"/>
            <w:sz w:val="24"/>
            <w:szCs w:val="24"/>
            <w:u w:val="single"/>
            <w:rtl w:val="0"/>
          </w:rPr>
          <w:t xml:space="preserve">https://learn.microsoft.com/en-us/ef/core/managing-schemas/migrations/providers</w:t>
        </w:r>
      </w:hyperlink>
      <w:r w:rsidDel="00000000" w:rsidR="00000000" w:rsidRPr="00000000">
        <w:rPr>
          <w:rtl w:val="0"/>
        </w:rPr>
      </w:r>
    </w:p>
    <w:p w:rsidR="00000000" w:rsidDel="00000000" w:rsidP="00000000" w:rsidRDefault="00000000" w:rsidRPr="00000000" w14:paraId="0000012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 ADO.NET Database Programming Guide | PDF - Scribd, accessed May 30, 2026, </w:t>
      </w:r>
      <w:hyperlink r:id="rId30">
        <w:r w:rsidDel="00000000" w:rsidR="00000000" w:rsidRPr="00000000">
          <w:rPr>
            <w:rFonts w:ascii="Google Sans" w:cs="Google Sans" w:eastAsia="Google Sans" w:hAnsi="Google Sans"/>
            <w:color w:val="0000ee"/>
            <w:sz w:val="24"/>
            <w:szCs w:val="24"/>
            <w:u w:val="single"/>
            <w:rtl w:val="0"/>
          </w:rPr>
          <w:t xml:space="preserve">https://www.scribd.com/document/854562842/Unit-V-Introduction</w:t>
        </w:r>
      </w:hyperlink>
      <w:r w:rsidDel="00000000" w:rsidR="00000000" w:rsidRPr="00000000">
        <w:rPr>
          <w:rtl w:val="0"/>
        </w:rPr>
      </w:r>
    </w:p>
    <w:p w:rsidR="00000000" w:rsidDel="00000000" w:rsidP="00000000" w:rsidRDefault="00000000" w:rsidRPr="00000000" w14:paraId="0000012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SQL Merge Statement: Syntax, Usage, and Example | by Jaimin Shethiya | Medium, accessed May 30, 2026, </w:t>
      </w:r>
      <w:hyperlink r:id="rId31">
        <w:r w:rsidDel="00000000" w:rsidR="00000000" w:rsidRPr="00000000">
          <w:rPr>
            <w:rFonts w:ascii="Google Sans" w:cs="Google Sans" w:eastAsia="Google Sans" w:hAnsi="Google Sans"/>
            <w:color w:val="0000ee"/>
            <w:sz w:val="24"/>
            <w:szCs w:val="24"/>
            <w:u w:val="single"/>
            <w:rtl w:val="0"/>
          </w:rPr>
          <w:t xml:space="preserve">https://medium.com/@jaimin_99136/sql-merge-statement-syntax-usage-and-example-83b289ff21fc</w:t>
        </w:r>
      </w:hyperlink>
      <w:r w:rsidDel="00000000" w:rsidR="00000000" w:rsidRPr="00000000">
        <w:rPr>
          <w:rtl w:val="0"/>
        </w:rPr>
      </w:r>
    </w:p>
    <w:p w:rsidR="00000000" w:rsidDel="00000000" w:rsidP="00000000" w:rsidRDefault="00000000" w:rsidRPr="00000000" w14:paraId="0000012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Filtering 500B records for user application : r/snowflake - Reddit, accessed May 30, 2026, </w:t>
      </w:r>
      <w:hyperlink r:id="rId32">
        <w:r w:rsidDel="00000000" w:rsidR="00000000" w:rsidRPr="00000000">
          <w:rPr>
            <w:rFonts w:ascii="Google Sans" w:cs="Google Sans" w:eastAsia="Google Sans" w:hAnsi="Google Sans"/>
            <w:color w:val="0000ee"/>
            <w:sz w:val="24"/>
            <w:szCs w:val="24"/>
            <w:u w:val="single"/>
            <w:rtl w:val="0"/>
          </w:rPr>
          <w:t xml:space="preserve">https://www.reddit.com/r/snowflake/comments/1amctf4/filtering_500b_records_for_user_application/</w:t>
        </w:r>
      </w:hyperlink>
      <w:r w:rsidDel="00000000" w:rsidR="00000000" w:rsidRPr="00000000">
        <w:rPr>
          <w:rtl w:val="0"/>
        </w:rPr>
      </w:r>
    </w:p>
    <w:p w:rsidR="00000000" w:rsidDel="00000000" w:rsidP="00000000" w:rsidRDefault="00000000" w:rsidRPr="00000000" w14:paraId="0000013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Article Category: Database | CODE Magazine, accessed May 30, 2026, </w:t>
      </w:r>
      <w:hyperlink r:id="rId33">
        <w:r w:rsidDel="00000000" w:rsidR="00000000" w:rsidRPr="00000000">
          <w:rPr>
            <w:rFonts w:ascii="Google Sans" w:cs="Google Sans" w:eastAsia="Google Sans" w:hAnsi="Google Sans"/>
            <w:color w:val="0000ee"/>
            <w:sz w:val="24"/>
            <w:szCs w:val="24"/>
            <w:u w:val="single"/>
            <w:rtl w:val="0"/>
          </w:rPr>
          <w:t xml:space="preserve">https://www.codemag.com/Magazine/ByCategory/Database</w:t>
        </w:r>
      </w:hyperlink>
      <w:r w:rsidDel="00000000" w:rsidR="00000000" w:rsidRPr="00000000">
        <w:rPr>
          <w:rtl w:val="0"/>
        </w:rPr>
      </w:r>
    </w:p>
    <w:p w:rsidR="00000000" w:rsidDel="00000000" w:rsidP="00000000" w:rsidRDefault="00000000" w:rsidRPr="00000000" w14:paraId="0000013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Set up ASP.NET Core instrumentation - APM agents - Elastic, accessed May 30, 2026, </w:t>
      </w:r>
      <w:hyperlink r:id="rId34">
        <w:r w:rsidDel="00000000" w:rsidR="00000000" w:rsidRPr="00000000">
          <w:rPr>
            <w:rFonts w:ascii="Google Sans" w:cs="Google Sans" w:eastAsia="Google Sans" w:hAnsi="Google Sans"/>
            <w:color w:val="0000ee"/>
            <w:sz w:val="24"/>
            <w:szCs w:val="24"/>
            <w:u w:val="single"/>
            <w:rtl w:val="0"/>
          </w:rPr>
          <w:t xml:space="preserve">https://www.elastic.co/docs/reference/apm/agents/dotnet/setup-asp-net-core</w:t>
        </w:r>
      </w:hyperlink>
      <w:r w:rsidDel="00000000" w:rsidR="00000000" w:rsidRPr="00000000">
        <w:rPr>
          <w:rtl w:val="0"/>
        </w:rPr>
      </w:r>
    </w:p>
    <w:p w:rsidR="00000000" w:rsidDel="00000000" w:rsidP="00000000" w:rsidRDefault="00000000" w:rsidRPr="00000000" w14:paraId="0000013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ASP.NET Core metrics - Microsoft Learn, accessed May 30, 2026, </w:t>
      </w:r>
      <w:hyperlink r:id="rId35">
        <w:r w:rsidDel="00000000" w:rsidR="00000000" w:rsidRPr="00000000">
          <w:rPr>
            <w:rFonts w:ascii="Google Sans" w:cs="Google Sans" w:eastAsia="Google Sans" w:hAnsi="Google Sans"/>
            <w:color w:val="0000ee"/>
            <w:sz w:val="24"/>
            <w:szCs w:val="24"/>
            <w:u w:val="single"/>
            <w:rtl w:val="0"/>
          </w:rPr>
          <w:t xml:space="preserve">https://learn.microsoft.com/en-us/aspnet/core/log-mon/metrics/metrics?view=aspnetcore-10.0</w:t>
        </w:r>
      </w:hyperlink>
      <w:r w:rsidDel="00000000" w:rsidR="00000000" w:rsidRPr="00000000">
        <w:rPr>
          <w:rtl w:val="0"/>
        </w:rPr>
      </w:r>
    </w:p>
    <w:p w:rsidR="00000000" w:rsidDel="00000000" w:rsidP="00000000" w:rsidRDefault="00000000" w:rsidRPr="00000000" w14:paraId="0000013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Oracle SQL Tutorial for Beginners Complete Guide 2026 - NareshIT, accessed May 30, 2026, </w:t>
      </w:r>
      <w:hyperlink r:id="rId36">
        <w:r w:rsidDel="00000000" w:rsidR="00000000" w:rsidRPr="00000000">
          <w:rPr>
            <w:rFonts w:ascii="Google Sans" w:cs="Google Sans" w:eastAsia="Google Sans" w:hAnsi="Google Sans"/>
            <w:color w:val="0000ee"/>
            <w:sz w:val="24"/>
            <w:szCs w:val="24"/>
            <w:u w:val="single"/>
            <w:rtl w:val="0"/>
          </w:rPr>
          <w:t xml:space="preserve">https://nareshit.com/blogs/oracle-sql-tutorial-for-beginners-complete-guide-2026</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l.ucsc.cmb.ac.lk/jspui/bitstream/123456789/4085/1/Hardware%20Management%20%20Information%20System-14550044.pdf" TargetMode="External"/><Relationship Id="rId22" Type="http://schemas.openxmlformats.org/officeDocument/2006/relationships/hyperlink" Target="https://learn.microsoft.com/en-us/ef/core/providers/" TargetMode="External"/><Relationship Id="rId21" Type="http://schemas.openxmlformats.org/officeDocument/2006/relationships/hyperlink" Target="https://medium.com/chat2db/connecting-mysql-database-with-ef-core-in-net-core-b800873dd0ae" TargetMode="External"/><Relationship Id="rId24" Type="http://schemas.openxmlformats.org/officeDocument/2006/relationships/hyperlink" Target="https://codewithmukesh.com/blog/multiple-dbcontext-efcore/" TargetMode="External"/><Relationship Id="rId23" Type="http://schemas.openxmlformats.org/officeDocument/2006/relationships/hyperlink" Target="https://blog.jetbrains.com/dotnet/2022/08/24/entity-framework-core-and-multiple-database-provider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hyperlink" Target="https://antondevtips.com/blog/how-to-create-migrations-for-multiple-databases-in-ef-core" TargetMode="External"/><Relationship Id="rId25" Type="http://schemas.openxmlformats.org/officeDocument/2006/relationships/hyperlink" Target="https://aniekanjr.medium.com/multiple-db-providers-b038cf4fae3" TargetMode="External"/><Relationship Id="rId28" Type="http://schemas.openxmlformats.org/officeDocument/2006/relationships/hyperlink" Target="https://docs.oracle.com/en/database/oracle/oracle-database/26/odpnt/EFCore8features.html" TargetMode="External"/><Relationship Id="rId27" Type="http://schemas.openxmlformats.org/officeDocument/2006/relationships/hyperlink" Target="https://www.reddit.com/r/dotnet/comments/1lxp79y/is_there_another_package_that_supports_entity/"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learn.microsoft.com/en-us/ef/core/managing-schemas/migrations/providers" TargetMode="External"/><Relationship Id="rId7" Type="http://schemas.openxmlformats.org/officeDocument/2006/relationships/image" Target="media/image4.png"/><Relationship Id="rId8" Type="http://schemas.openxmlformats.org/officeDocument/2006/relationships/image" Target="media/image12.png"/><Relationship Id="rId31" Type="http://schemas.openxmlformats.org/officeDocument/2006/relationships/hyperlink" Target="https://medium.com/@jaimin_99136/sql-merge-statement-syntax-usage-and-example-83b289ff21fc" TargetMode="External"/><Relationship Id="rId30" Type="http://schemas.openxmlformats.org/officeDocument/2006/relationships/hyperlink" Target="https://www.scribd.com/document/854562842/Unit-V-Introduction" TargetMode="External"/><Relationship Id="rId11" Type="http://schemas.openxmlformats.org/officeDocument/2006/relationships/image" Target="media/image11.png"/><Relationship Id="rId33" Type="http://schemas.openxmlformats.org/officeDocument/2006/relationships/hyperlink" Target="https://www.codemag.com/Magazine/ByCategory/Database" TargetMode="External"/><Relationship Id="rId10" Type="http://schemas.openxmlformats.org/officeDocument/2006/relationships/image" Target="media/image13.png"/><Relationship Id="rId32" Type="http://schemas.openxmlformats.org/officeDocument/2006/relationships/hyperlink" Target="https://www.reddit.com/r/snowflake/comments/1amctf4/filtering_500b_records_for_user_application/" TargetMode="External"/><Relationship Id="rId13" Type="http://schemas.openxmlformats.org/officeDocument/2006/relationships/image" Target="media/image8.png"/><Relationship Id="rId35" Type="http://schemas.openxmlformats.org/officeDocument/2006/relationships/hyperlink" Target="https://learn.microsoft.com/en-us/aspnet/core/log-mon/metrics/metrics?view=aspnetcore-10.0" TargetMode="External"/><Relationship Id="rId12" Type="http://schemas.openxmlformats.org/officeDocument/2006/relationships/image" Target="media/image1.png"/><Relationship Id="rId34" Type="http://schemas.openxmlformats.org/officeDocument/2006/relationships/hyperlink" Target="https://www.elastic.co/docs/reference/apm/agents/dotnet/setup-asp-net-core" TargetMode="External"/><Relationship Id="rId15" Type="http://schemas.openxmlformats.org/officeDocument/2006/relationships/image" Target="media/image5.png"/><Relationship Id="rId14" Type="http://schemas.openxmlformats.org/officeDocument/2006/relationships/image" Target="media/image7.png"/><Relationship Id="rId36" Type="http://schemas.openxmlformats.org/officeDocument/2006/relationships/hyperlink" Target="https://nareshit.com/blogs/oracle-sql-tutorial-for-beginners-complete-guide-2026" TargetMode="External"/><Relationship Id="rId17" Type="http://schemas.openxmlformats.org/officeDocument/2006/relationships/image" Target="media/image6.png"/><Relationship Id="rId16" Type="http://schemas.openxmlformats.org/officeDocument/2006/relationships/image" Target="media/image3.png"/><Relationship Id="rId19" Type="http://schemas.openxmlformats.org/officeDocument/2006/relationships/hyperlink" Target="https://github.com/Yajnesh302/attendance2/blob/main/system_architecture_overview.md" TargetMode="External"/><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