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t xml:space="preserve"/>
      </w:r>
    </w:p>
    <w:p>
      <w:pPr>
        <w:spacing w:before="0" w:after="120"/>
        <w:jc w:val="center"/>
      </w:pPr>
      <w:r>
        <w:rPr>
          <w:rFonts w:ascii="Arial" w:cs="Arial" w:eastAsia="Arial" w:hAnsi="Arial"/>
          <w:b/>
          <w:bCs/>
          <w:color w:val="0D1B2A"/>
          <w:sz w:val="52"/>
          <w:szCs w:val="52"/>
        </w:rPr>
        <w:t xml:space="preserve">CASE STUDY ANALYSIS REPORT</w:t>
      </w:r>
    </w:p>
    <w:p>
      <w:pPr>
        <w:spacing w:before="0" w:after="480"/>
        <w:jc w:val="center"/>
      </w:pPr>
      <w:r>
        <w:rPr>
          <w:rFonts w:ascii="Arial" w:cs="Arial" w:eastAsia="Arial" w:hAnsi="Arial"/>
          <w:b/>
          <w:bCs/>
          <w:color w:val="1565C0"/>
          <w:sz w:val="34"/>
          <w:szCs w:val="34"/>
        </w:rPr>
        <w:t xml:space="preserve">Credit Card Fraud Detection Using Machine Learning</w:t>
      </w:r>
    </w:p>
    <w:p>
      <w:pPr>
        <w:spacing w:before="0" w:after="480"/>
        <w:jc w:val="center"/>
      </w:pPr>
      <w:r>
        <w:rPr>
          <w:rFonts w:ascii="Arial" w:cs="Arial" w:eastAsia="Arial" w:hAnsi="Arial"/>
          <w:color w:val="1976D2"/>
          <w:sz w:val="24"/>
          <w:szCs w:val="24"/>
        </w:rPr>
        <w:t xml:space="preserve">─────────────────────────────────────────────────────────</w:t>
      </w:r>
    </w:p>
    <w:p>
      <w:pPr>
        <w:spacing w:before="0" w:after="120"/>
        <w:jc w:val="center"/>
      </w:pPr>
      <w:r>
        <w:rPr>
          <w:rFonts w:ascii="Arial" w:cs="Arial" w:eastAsia="Arial" w:hAnsi="Arial"/>
          <w:b/>
          <w:bCs/>
          <w:color w:val="0D1B2A"/>
          <w:sz w:val="24"/>
          <w:szCs w:val="24"/>
        </w:rPr>
        <w:t xml:space="preserve">Domain: </w:t>
      </w:r>
      <w:r>
        <w:rPr>
          <w:rFonts w:ascii="Arial" w:cs="Arial" w:eastAsia="Arial" w:hAnsi="Arial"/>
          <w:color w:val="333333"/>
          <w:sz w:val="24"/>
          <w:szCs w:val="24"/>
        </w:rPr>
        <w:t xml:space="preserve">Financial Services &amp; FinTech</w:t>
      </w:r>
    </w:p>
    <w:p>
      <w:pPr>
        <w:spacing w:before="0" w:after="120"/>
        <w:jc w:val="center"/>
      </w:pPr>
      <w:r>
        <w:rPr>
          <w:rFonts w:ascii="Arial" w:cs="Arial" w:eastAsia="Arial" w:hAnsi="Arial"/>
          <w:b/>
          <w:bCs/>
          <w:color w:val="0D1B2A"/>
          <w:sz w:val="24"/>
          <w:szCs w:val="24"/>
        </w:rPr>
        <w:t xml:space="preserve">Document Type: </w:t>
      </w:r>
      <w:r>
        <w:rPr>
          <w:rFonts w:ascii="Arial" w:cs="Arial" w:eastAsia="Arial" w:hAnsi="Arial"/>
          <w:color w:val="333333"/>
          <w:sz w:val="24"/>
          <w:szCs w:val="24"/>
        </w:rPr>
        <w:t xml:space="preserve">Deliverable 1 — Case Study Analysis</w:t>
      </w:r>
    </w:p>
    <w:p>
      <w:pPr>
        <w:spacing w:before="0" w:after="120"/>
        <w:jc w:val="center"/>
      </w:pPr>
      <w:r>
        <w:rPr>
          <w:rFonts w:ascii="Arial" w:cs="Arial" w:eastAsia="Arial" w:hAnsi="Arial"/>
          <w:b/>
          <w:bCs/>
          <w:color w:val="0D1B2A"/>
          <w:sz w:val="24"/>
          <w:szCs w:val="24"/>
        </w:rPr>
        <w:t xml:space="preserve">Internship Period: </w:t>
      </w:r>
      <w:r>
        <w:rPr>
          <w:rFonts w:ascii="Arial" w:cs="Arial" w:eastAsia="Arial" w:hAnsi="Arial"/>
          <w:color w:val="333333"/>
          <w:sz w:val="24"/>
          <w:szCs w:val="24"/>
        </w:rPr>
        <w:t xml:space="preserve">Feb 26 – Mar 19, 2026 (22 Days)</w:t>
      </w:r>
    </w:p>
    <w:p>
      <w:pPr>
        <w:spacing w:before="0" w:after="120"/>
        <w:jc w:val="center"/>
      </w:pPr>
      <w:r>
        <w:rPr>
          <w:rFonts w:ascii="Arial" w:cs="Arial" w:eastAsia="Arial" w:hAnsi="Arial"/>
          <w:b/>
          <w:bCs/>
          <w:color w:val="0D1B2A"/>
          <w:sz w:val="24"/>
          <w:szCs w:val="24"/>
        </w:rPr>
        <w:t xml:space="preserve">Dataset: </w:t>
      </w:r>
      <w:r>
        <w:rPr>
          <w:rFonts w:ascii="Arial" w:cs="Arial" w:eastAsia="Arial" w:hAnsi="Arial"/>
          <w:color w:val="333333"/>
          <w:sz w:val="24"/>
          <w:szCs w:val="24"/>
        </w:rPr>
        <w:t xml:space="preserve">Kaggle ULB Credit Card Fraud Dataset</w:t>
      </w:r>
    </w:p>
    <w:p>
      <w:pPr>
        <w:spacing w:before="0" w:after="120"/>
        <w:jc w:val="center"/>
      </w:pPr>
      <w:r>
        <w:rPr>
          <w:rFonts w:ascii="Arial" w:cs="Arial" w:eastAsia="Arial" w:hAnsi="Arial"/>
          <w:b/>
          <w:bCs/>
          <w:color w:val="0D1B2A"/>
          <w:sz w:val="24"/>
          <w:szCs w:val="24"/>
        </w:rPr>
        <w:t xml:space="preserve">Company Examples: </w:t>
      </w:r>
      <w:r>
        <w:rPr>
          <w:rFonts w:ascii="Arial" w:cs="Arial" w:eastAsia="Arial" w:hAnsi="Arial"/>
          <w:color w:val="333333"/>
          <w:sz w:val="24"/>
          <w:szCs w:val="24"/>
        </w:rPr>
        <w:t xml:space="preserve">Visa, PayPal, JPMorgan Chase, Stripe Radar</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1. Executive Summary</w:t>
      </w:r>
    </w:p>
    <w:p>
      <w:pPr>
        <w:spacing w:before="80" w:after="160"/>
        <w:jc w:val="both"/>
      </w:pPr>
      <w:r>
        <w:rPr>
          <w:rFonts w:ascii="Arial" w:cs="Arial" w:eastAsia="Arial" w:hAnsi="Arial"/>
          <w:color w:val="333333"/>
          <w:sz w:val="22"/>
          <w:szCs w:val="22"/>
        </w:rPr>
        <w:t xml:space="preserve">Credit card fraud represents one of the most significant and rapidly growing threats to the global financial system. In 2023, global card fraud losses reached $32.34 billion, with projections indicating losses will exceed $38 billion by 2027. This case study provides a comprehensive analysis of the business problem, industry context, technical challenges, stakeholder landscape, and strategic solution framework for implementing an AI-powered fraud detection system.</w:t>
      </w:r>
    </w:p>
    <w:p>
      <w:pPr>
        <w:spacing w:before="80" w:after="160"/>
        <w:jc w:val="both"/>
      </w:pPr>
      <w:r>
        <w:rPr>
          <w:rFonts w:ascii="Arial" w:cs="Arial" w:eastAsia="Arial" w:hAnsi="Arial"/>
          <w:color w:val="333333"/>
          <w:sz w:val="22"/>
          <w:szCs w:val="22"/>
        </w:rPr>
        <w:t xml:space="preserve">The case study focuses on the European credit card fraud dataset published by the Universite Libre de Bruxelles (ULB) Machine Learning Group, comprising 284,807 transactions over two days in September 2013. This dataset has become the de facto benchmark for fraud detection research, with 492 confirmed fraudulent transactions representing a 0.172% fraud rate — mirroring real-world conditions where fraud is rare but financially devastating.</w:t>
      </w:r>
    </w:p>
    <w:p>
      <w:pPr>
        <w:spacing w:before="80" w:after="160"/>
        <w:jc w:val="both"/>
      </w:pPr>
      <w:r>
        <w:rPr>
          <w:rFonts w:ascii="Arial" w:cs="Arial" w:eastAsia="Arial" w:hAnsi="Arial"/>
          <w:color w:val="333333"/>
          <w:sz w:val="22"/>
          <w:szCs w:val="22"/>
        </w:rPr>
        <w:t xml:space="preserve">Our analysis identifies that existing rule-based fraud detection systems miss approximately 38% of fraudulent transactions while generating excessive false positives that damage customer trust and drive $118 billion in declined legitimate transactions annually in the United States alone. Machine learning, specifically XGBoost with SMOTE oversampling, addresses these limitations by learning complex, non-linear fraud patterns from historical data while adapting to emerging threats through regular retraining.</w:t>
      </w:r>
    </w:p>
    <w:p>
      <w:pPr>
        <w:spacing w:before="80" w:after="160"/>
        <w:jc w:val="both"/>
      </w:pPr>
      <w:r>
        <w:rPr>
          <w:rFonts w:ascii="Arial" w:cs="Arial" w:eastAsia="Arial" w:hAnsi="Arial"/>
          <w:color w:val="333333"/>
          <w:sz w:val="22"/>
          <w:szCs w:val="22"/>
        </w:rPr>
        <w:t xml:space="preserve">This report covers the full problem lifecycle: industry context and market analysis, detailed problem statement with technical constraints, stakeholder mapping and impact assessment, current-state technology evaluation, financial impact quantification, and defined success criteria with measurable KPIs.</w:t>
      </w:r>
    </w:p>
    <w:p>
      <w:pPr>
        <w:spacing w:before="0" w:after="120"/>
      </w:pPr>
      <w:r>
        <w:t xml:space="preserve"/>
      </w:r>
    </w:p>
    <w:p>
      <w:pPr>
        <w:pStyle w:val="Heading1"/>
        <w:pBdr>
          <w:bottom w:val="single" w:color="1565C0" w:sz="8" w:space="4"/>
        </w:pBdr>
        <w:spacing w:before="360" w:after="160"/>
      </w:pPr>
      <w:r>
        <w:rPr>
          <w:rFonts w:ascii="Arial" w:cs="Arial" w:eastAsia="Arial" w:hAnsi="Arial"/>
          <w:b/>
          <w:bCs/>
          <w:color w:val="0D1B2A"/>
          <w:sz w:val="36"/>
          <w:szCs w:val="36"/>
        </w:rPr>
        <w:t xml:space="preserve">2. Industry Context &amp; Market Analysis</w:t>
      </w:r>
    </w:p>
    <w:p>
      <w:pPr>
        <w:pStyle w:val="Heading2"/>
        <w:spacing w:before="280" w:after="120"/>
      </w:pPr>
      <w:r>
        <w:rPr>
          <w:rFonts w:ascii="Arial" w:cs="Arial" w:eastAsia="Arial" w:hAnsi="Arial"/>
          <w:b/>
          <w:bCs/>
          <w:color w:val="1565C0"/>
          <w:sz w:val="28"/>
          <w:szCs w:val="28"/>
        </w:rPr>
        <w:t xml:space="preserve">2.1 The Scale of Credit Card Fraud</w:t>
      </w:r>
    </w:p>
    <w:p>
      <w:pPr>
        <w:spacing w:before="80" w:after="160"/>
        <w:jc w:val="both"/>
      </w:pPr>
      <w:r>
        <w:rPr>
          <w:rFonts w:ascii="Arial" w:cs="Arial" w:eastAsia="Arial" w:hAnsi="Arial"/>
          <w:color w:val="333333"/>
          <w:sz w:val="22"/>
          <w:szCs w:val="22"/>
        </w:rPr>
        <w:t xml:space="preserve">Credit card fraud occurs when unauthorized individuals use stolen card information to make purchases or access financial accounts. The payment card industry processes approximately 500 billion transactions annually globally, creating an enormous surface area for fraudsters to exploit. The digitization of payments — accelerated by the COVID-19 pandemic — has dramatically expanded online card-not-present (CNP) fraud, which now accounts for 73% of all fraud losses.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680"/>
        <w:gridCol w:w="3680"/>
      </w:tblGrid>
      <w:tr>
        <w:tc>
          <w:tcPr>
            <w:tcW w:type="dxa" w:w="3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Market Metric</w:t>
            </w:r>
          </w:p>
        </w:tc>
        <w:tc>
          <w:tcPr>
            <w:tcW w:type="dxa" w:w="268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Value (2023)</w:t>
            </w:r>
          </w:p>
        </w:tc>
        <w:tc>
          <w:tcPr>
            <w:tcW w:type="dxa" w:w="368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Trend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Global Fraud Losses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$32.34 Billion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Growing 15% annually</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US Fraud Losses</w:t>
            </w:r>
          </w:p>
        </w:tc>
        <w:tc>
          <w:tcPr>
            <w:tcW w:type="dxa" w:w="2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$11.8 Billion</w:t>
            </w:r>
          </w:p>
        </w:tc>
        <w:tc>
          <w:tcPr>
            <w:tcW w:type="dxa" w:w="3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Largest single market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Card-Not-Present Fraud</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73% of total losses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CNP growing post-COVID</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Cost per Fraud Case</w:t>
            </w:r>
          </w:p>
        </w:tc>
        <w:tc>
          <w:tcPr>
            <w:tcW w:type="dxa" w:w="2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$5.90 per $1 lost</w:t>
            </w:r>
          </w:p>
        </w:tc>
        <w:tc>
          <w:tcPr>
            <w:tcW w:type="dxa" w:w="3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Includes chargebacks + ops</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Annual Transactions</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500+ Billion</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Growing with digital payments</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False Positive Revenue Loss</w:t>
            </w:r>
          </w:p>
        </w:tc>
        <w:tc>
          <w:tcPr>
            <w:tcW w:type="dxa" w:w="2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$118 Billion (US)</w:t>
            </w:r>
          </w:p>
        </w:tc>
        <w:tc>
          <w:tcPr>
            <w:tcW w:type="dxa" w:w="36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Legitimate tx declined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Fraud Detection Investment</w:t>
            </w:r>
          </w:p>
        </w:tc>
        <w:tc>
          <w:tcPr>
            <w:tcW w:type="dxa" w:w="2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$9.3 Billion market</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AI solutions fastest growing</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2.2 Real-World Company Case Studies</w:t>
      </w:r>
    </w:p>
    <w:p>
      <w:pPr>
        <w:pStyle w:val="Heading3"/>
        <w:spacing w:before="200" w:after="80"/>
      </w:pPr>
      <w:r>
        <w:rPr>
          <w:rFonts w:ascii="Arial" w:cs="Arial" w:eastAsia="Arial" w:hAnsi="Arial"/>
          <w:b/>
          <w:bCs/>
          <w:color w:val="1976D2"/>
          <w:sz w:val="24"/>
          <w:szCs w:val="24"/>
        </w:rPr>
        <w:t xml:space="preserve">Visa — Global Scale AI Detection</w:t>
      </w:r>
    </w:p>
    <w:p>
      <w:pPr>
        <w:spacing w:before="80" w:after="160"/>
        <w:jc w:val="both"/>
      </w:pPr>
      <w:r>
        <w:rPr>
          <w:rFonts w:ascii="Arial" w:cs="Arial" w:eastAsia="Arial" w:hAnsi="Arial"/>
          <w:color w:val="333333"/>
          <w:sz w:val="22"/>
          <w:szCs w:val="22"/>
        </w:rPr>
        <w:t xml:space="preserve">Visa processes over 65,000 transactions per second across 3.9 billion cards globally. Their Advanced Authorization (AA) system uses a neural network scoring model that analyzes 500+ variables per transaction in under 100 milliseconds. Visa reports that their AI system prevents approximately $25 billion in fraud annually — demonstrating that ML fraud detection is not theoretical but a core operational capability at the world's largest payments network. Visa's model refreshes every 30 days to adapt to evolving fraud patterns, directly motivating our monthly retraining architecture.</w:t>
      </w:r>
    </w:p>
    <w:p>
      <w:pPr>
        <w:pStyle w:val="Heading3"/>
        <w:spacing w:before="200" w:after="80"/>
      </w:pPr>
      <w:r>
        <w:rPr>
          <w:rFonts w:ascii="Arial" w:cs="Arial" w:eastAsia="Arial" w:hAnsi="Arial"/>
          <w:b/>
          <w:bCs/>
          <w:color w:val="1976D2"/>
          <w:sz w:val="24"/>
          <w:szCs w:val="24"/>
        </w:rPr>
        <w:t xml:space="preserve">PayPal — Behavioral Analytics at $1.5T Volume</w:t>
      </w:r>
    </w:p>
    <w:p>
      <w:pPr>
        <w:spacing w:before="80" w:after="160"/>
        <w:jc w:val="both"/>
      </w:pPr>
      <w:r>
        <w:rPr>
          <w:rFonts w:ascii="Arial" w:cs="Arial" w:eastAsia="Arial" w:hAnsi="Arial"/>
          <w:color w:val="333333"/>
          <w:sz w:val="22"/>
          <w:szCs w:val="22"/>
        </w:rPr>
        <w:t xml:space="preserve">PayPal processes $1.5 trillion in payment volume annually across 426 million active accounts. Their fraud detection system uses a combination of gradient boosted trees and recurrent neural networks (LSTM) for sequence modeling of user transaction histories. PayPal publicly reports a fraud rate of 0.32% — below the industry average of 0.58% — which they attribute to their ML system's ability to incorporate behavioral biometrics (typing patterns, mouse movements) alongside transaction features. Their reported $1.5B in annual fraud prevention demonstrates the ROI of ML investment.</w:t>
      </w:r>
    </w:p>
    <w:p>
      <w:pPr>
        <w:pStyle w:val="Heading3"/>
        <w:spacing w:before="200" w:after="80"/>
      </w:pPr>
      <w:r>
        <w:rPr>
          <w:rFonts w:ascii="Arial" w:cs="Arial" w:eastAsia="Arial" w:hAnsi="Arial"/>
          <w:b/>
          <w:bCs/>
          <w:color w:val="1976D2"/>
          <w:sz w:val="24"/>
          <w:szCs w:val="24"/>
        </w:rPr>
        <w:t xml:space="preserve">JPMorgan Chase — ML Reducing Fraud 30%</w:t>
      </w:r>
    </w:p>
    <w:p>
      <w:pPr>
        <w:spacing w:before="80" w:after="160"/>
        <w:jc w:val="both"/>
      </w:pPr>
      <w:r>
        <w:rPr>
          <w:rFonts w:ascii="Arial" w:cs="Arial" w:eastAsia="Arial" w:hAnsi="Arial"/>
          <w:color w:val="333333"/>
          <w:sz w:val="22"/>
          <w:szCs w:val="22"/>
        </w:rPr>
        <w:t xml:space="preserve">JPMorgan Chase, the largest US bank by assets, deployed ML-based fraud detection across their credit card portfolio in 2019. Their Chief Data &amp; Analytics Officer publicly reported a 30% reduction in fraud losses within 18 months of ML deployment. JPMorgan's system processes 6 billion transactions annually and uses an ensemble of XGBoost, gradient boosted trees, and graph neural networks to detect account takeover fraud — a pattern distinct from simple transaction fraud. Their experience validates ensemble approaches for complex fraud patterns.</w:t>
      </w:r>
    </w:p>
    <w:p>
      <w:pPr>
        <w:pStyle w:val="Heading3"/>
        <w:spacing w:before="200" w:after="80"/>
      </w:pPr>
      <w:r>
        <w:rPr>
          <w:rFonts w:ascii="Arial" w:cs="Arial" w:eastAsia="Arial" w:hAnsi="Arial"/>
          <w:b/>
          <w:bCs/>
          <w:color w:val="1976D2"/>
          <w:sz w:val="24"/>
          <w:szCs w:val="24"/>
        </w:rPr>
        <w:t xml:space="preserve">Stripe Radar — Real-Time Risk Scoring</w:t>
      </w:r>
    </w:p>
    <w:p>
      <w:pPr>
        <w:spacing w:before="80" w:after="160"/>
        <w:jc w:val="both"/>
      </w:pPr>
      <w:r>
        <w:rPr>
          <w:rFonts w:ascii="Arial" w:cs="Arial" w:eastAsia="Arial" w:hAnsi="Arial"/>
          <w:color w:val="333333"/>
          <w:sz w:val="22"/>
          <w:szCs w:val="22"/>
        </w:rPr>
        <w:t xml:space="preserve">Stripe's Radar fraud prevention system serves 3 million+ businesses processing $640 billion in payments. Radar uses gradient boosted trees trained on data from all Stripe merchants simultaneously — creating network effects where fraud signals from one merchant improve detection for all others. Stripe reports 89% precision at 99.9% recall, achieved through careful threshold tuning and a team review queue for borderline cases. Their success with gradient boosted trees is a primary motivator for our XGBoost selection.</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3. Problem Statement &amp; Scope Definition</w:t>
      </w:r>
    </w:p>
    <w:p>
      <w:pPr>
        <w:pStyle w:val="Heading2"/>
        <w:spacing w:before="280" w:after="120"/>
      </w:pPr>
      <w:r>
        <w:rPr>
          <w:rFonts w:ascii="Arial" w:cs="Arial" w:eastAsia="Arial" w:hAnsi="Arial"/>
          <w:b/>
          <w:bCs/>
          <w:color w:val="1565C0"/>
          <w:sz w:val="28"/>
          <w:szCs w:val="28"/>
        </w:rPr>
        <w:t xml:space="preserve">3.1 Core Business Problem</w:t>
      </w:r>
    </w:p>
    <w:p>
      <w:pPr>
        <w:spacing w:before="80" w:after="160"/>
        <w:jc w:val="both"/>
      </w:pPr>
      <w:r>
        <w:rPr>
          <w:rFonts w:ascii="Arial" w:cs="Arial" w:eastAsia="Arial" w:hAnsi="Arial"/>
          <w:color w:val="333333"/>
          <w:sz w:val="22"/>
          <w:szCs w:val="22"/>
        </w:rPr>
        <w:t xml:space="preserve">Financial institutions face a fundamental tension in fraud detection: being too aggressive (high false positive rate) blocks legitimate customer transactions, damages brand trust, and drives customers to competitors. Being too lenient (high false negative rate) allows fraud to proceed, resulting in direct financial losses, chargebacks, and regulatory fines.</w:t>
      </w:r>
    </w:p>
    <w:p>
      <w:pPr>
        <w:spacing w:before="80" w:after="160"/>
        <w:jc w:val="both"/>
      </w:pPr>
      <w:r>
        <w:rPr>
          <w:rFonts w:ascii="Arial" w:cs="Arial" w:eastAsia="Arial" w:hAnsi="Arial"/>
          <w:color w:val="333333"/>
          <w:sz w:val="22"/>
          <w:szCs w:val="22"/>
        </w:rPr>
        <w:t xml:space="preserve">The specific problem addressed in this case study is: Given a stream of credit card transactions with anonymized features derived from PCA transformation, predict in real-time (under 300ms) whether each transaction is fraudulent, maximizing fraud detection (recall) while minimizing disruption to legitimate customers (false positive rate).</w:t>
      </w:r>
    </w:p>
    <w:p>
      <w:pPr>
        <w:pStyle w:val="Heading2"/>
        <w:spacing w:before="280" w:after="120"/>
      </w:pPr>
      <w:r>
        <w:rPr>
          <w:rFonts w:ascii="Arial" w:cs="Arial" w:eastAsia="Arial" w:hAnsi="Arial"/>
          <w:b/>
          <w:bCs/>
          <w:color w:val="1565C0"/>
          <w:sz w:val="28"/>
          <w:szCs w:val="28"/>
        </w:rPr>
        <w:t xml:space="preserve">3.2 Technical Problem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Challenge</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Magnitude</w:t>
            </w:r>
          </w:p>
        </w:tc>
        <w:tc>
          <w:tcPr>
            <w:tcW w:type="dxa" w:w="45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Business Impact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Class Imbalance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577:1 ratio</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Standard models achieve 99.83% accuracy while detecting 0% of fraud — accuracy is meaningless</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Latency Constraint</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&lt;300ms end-to-end</w:t>
            </w:r>
          </w:p>
        </w:tc>
        <w:tc>
          <w:tcPr>
            <w:tcW w:type="dxa" w:w="4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Payment authorization must complete before cardholder's user experience degrades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Concept Drift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Monthly degradation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Fraudsters adapt strategies — models lose 5-15% performance per quarter without retraining</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Anonymized Features</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PCA (V1-V28)</w:t>
            </w:r>
          </w:p>
        </w:tc>
        <w:tc>
          <w:tcPr>
            <w:tcW w:type="dxa" w:w="4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Cannot use feature names for debugging; requires SHAP for explainability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No Ground Truth Labels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Delayed labeling</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Fraud confirmed days/weeks after transaction — supervised training requires historical data</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Privacy Constraints</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GDPR, PCI-DSS</w:t>
            </w:r>
          </w:p>
        </w:tc>
        <w:tc>
          <w:tcPr>
            <w:tcW w:type="dxa" w:w="4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Cannot use PII for training; model decisions must be explainable to customers</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3.3 Current State: Rule-Based System Limitations</w:t>
      </w:r>
    </w:p>
    <w:p>
      <w:pPr>
        <w:spacing w:before="80" w:after="160"/>
        <w:jc w:val="both"/>
      </w:pPr>
      <w:r>
        <w:rPr>
          <w:rFonts w:ascii="Arial" w:cs="Arial" w:eastAsia="Arial" w:hAnsi="Arial"/>
          <w:color w:val="333333"/>
          <w:sz w:val="22"/>
          <w:szCs w:val="22"/>
        </w:rPr>
        <w:t xml:space="preserve">Most financial institutions today still rely primarily on rule-based fraud detection systems — hand-crafted if-then rules developed by fraud analysts. Examples include: block transactions over $5,000 from new merchants, flag transactions from geographies inconsistent with cardholder history, or reject transactions where velocity exceeds 3 transactions per hour. While intuitive, these systems have critical limitations:</w:t>
      </w:r>
    </w:p>
    <w:p>
      <w:pPr>
        <w:pStyle w:val="ListParagraph"/>
        <w:numPr>
          <w:ilvl w:val="0"/>
          <w:numId w:val="2"/>
        </w:numPr>
        <w:spacing w:before="60" w:after="60"/>
      </w:pPr>
      <w:r>
        <w:rPr>
          <w:rFonts w:ascii="Arial" w:cs="Arial" w:eastAsia="Arial" w:hAnsi="Arial"/>
          <w:color w:val="333333"/>
          <w:sz w:val="22"/>
          <w:szCs w:val="22"/>
        </w:rPr>
        <w:t xml:space="preserve">Static rules cannot adapt to new fraud patterns without manual analyst intervention, creating a response lag of weeks to months</w:t>
      </w:r>
    </w:p>
    <w:p>
      <w:pPr>
        <w:pStyle w:val="ListParagraph"/>
        <w:numPr>
          <w:ilvl w:val="0"/>
          <w:numId w:val="2"/>
        </w:numPr>
        <w:spacing w:before="60" w:after="60"/>
      </w:pPr>
      <w:r>
        <w:rPr>
          <w:rFonts w:ascii="Arial" w:cs="Arial" w:eastAsia="Arial" w:hAnsi="Arial"/>
          <w:color w:val="333333"/>
          <w:sz w:val="22"/>
          <w:szCs w:val="22"/>
        </w:rPr>
        <w:t xml:space="preserve">Rules optimized for one fraud type (e.g., account takeover) degrade performance on others (e.g., card testing attacks)</w:t>
      </w:r>
    </w:p>
    <w:p>
      <w:pPr>
        <w:pStyle w:val="ListParagraph"/>
        <w:numPr>
          <w:ilvl w:val="0"/>
          <w:numId w:val="2"/>
        </w:numPr>
        <w:spacing w:before="60" w:after="60"/>
      </w:pPr>
      <w:r>
        <w:rPr>
          <w:rFonts w:ascii="Arial" w:cs="Arial" w:eastAsia="Arial" w:hAnsi="Arial"/>
          <w:color w:val="333333"/>
          <w:sz w:val="22"/>
          <w:szCs w:val="22"/>
        </w:rPr>
        <w:t xml:space="preserve">Rule thresholds are arbitrary — set by analyst judgment without statistical optimization, leading to suboptimal precision-recall tradeoffs</w:t>
      </w:r>
    </w:p>
    <w:p>
      <w:pPr>
        <w:pStyle w:val="ListParagraph"/>
        <w:numPr>
          <w:ilvl w:val="0"/>
          <w:numId w:val="2"/>
        </w:numPr>
        <w:spacing w:before="60" w:after="60"/>
      </w:pPr>
      <w:r>
        <w:rPr>
          <w:rFonts w:ascii="Arial" w:cs="Arial" w:eastAsia="Arial" w:hAnsi="Arial"/>
          <w:color w:val="333333"/>
          <w:sz w:val="22"/>
          <w:szCs w:val="22"/>
        </w:rPr>
        <w:t xml:space="preserve">False positive rates of 10-20% are common, blocking legitimate transactions and generating customer service volume</w:t>
      </w:r>
    </w:p>
    <w:p>
      <w:pPr>
        <w:pStyle w:val="ListParagraph"/>
        <w:numPr>
          <w:ilvl w:val="0"/>
          <w:numId w:val="2"/>
        </w:numPr>
        <w:spacing w:before="60" w:after="60"/>
      </w:pPr>
      <w:r>
        <w:rPr>
          <w:rFonts w:ascii="Arial" w:cs="Arial" w:eastAsia="Arial" w:hAnsi="Arial"/>
          <w:color w:val="333333"/>
          <w:sz w:val="22"/>
          <w:szCs w:val="22"/>
        </w:rPr>
        <w:t xml:space="preserve">Rules are transparent to sophisticated fraudsters who reverse-engineer them through trial-and-error testing</w:t>
      </w:r>
    </w:p>
    <w:p>
      <w:pPr>
        <w:spacing w:before="80" w:after="160"/>
        <w:jc w:val="both"/>
      </w:pPr>
      <w:r>
        <w:rPr>
          <w:rFonts w:ascii="Arial" w:cs="Arial" w:eastAsia="Arial" w:hAnsi="Arial"/>
          <w:color w:val="333333"/>
          <w:sz w:val="22"/>
          <w:szCs w:val="22"/>
        </w:rPr>
        <w:t xml:space="preserve">Quantified impact: Industry research shows rule-based systems have an average AUC-ROC of 0.75–0.82, compared to 0.97–0.99 for ML systems — a 20-25% improvement in discriminative power representing billions in fraud prevention.</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4. Stakeholder Analysis</w:t>
      </w:r>
    </w:p>
    <w:p>
      <w:pPr>
        <w:spacing w:before="80" w:after="160"/>
        <w:jc w:val="both"/>
      </w:pPr>
      <w:r>
        <w:rPr>
          <w:rFonts w:ascii="Arial" w:cs="Arial" w:eastAsia="Arial" w:hAnsi="Arial"/>
          <w:color w:val="333333"/>
          <w:sz w:val="22"/>
          <w:szCs w:val="22"/>
        </w:rPr>
        <w:t xml:space="preserve">A comprehensive stakeholder analysis identifies all parties impacted by fraud and the fraud detection system. Understanding stakeholder needs is critical for defining the correct optimization objective and system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2480"/>
        <w:gridCol w:w="2000"/>
        <w:gridCol w:w="1480"/>
      </w:tblGrid>
      <w:tr>
        <w:tc>
          <w:tcPr>
            <w:tcW w:type="dxa" w:w="18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Stakeholder</w:t>
            </w:r>
          </w:p>
        </w:tc>
        <w:tc>
          <w:tcPr>
            <w:tcW w:type="dxa" w:w="16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Role</w:t>
            </w:r>
          </w:p>
        </w:tc>
        <w:tc>
          <w:tcPr>
            <w:tcW w:type="dxa" w:w="248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Primary Concern</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Success Metric</w:t>
            </w:r>
          </w:p>
        </w:tc>
        <w:tc>
          <w:tcPr>
            <w:tcW w:type="dxa" w:w="148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Risk</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Cardholders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End Users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Security without friction; legitimate transactions not blocked; quick fraud resolution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FPR &lt; 0.1%; resolution &lt; 24hrs</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Privacy, blocked tx</w:t>
            </w:r>
          </w:p>
        </w:tc>
      </w:tr>
      <w:tr>
        <w:tc>
          <w:tcPr>
            <w:tcW w:type="dxa" w:w="1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Issuing Banks</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Primary Owners</w:t>
            </w:r>
          </w:p>
        </w:tc>
        <w:tc>
          <w:tcPr>
            <w:tcW w:type="dxa" w:w="24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Minimize chargeback losses; regulatory compliance; customer retention</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Fraud losses reduced 60%+; AUC &gt; 0.95</w:t>
            </w:r>
          </w:p>
        </w:tc>
        <w:tc>
          <w:tcPr>
            <w:tcW w:type="dxa" w:w="14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Regulatory fines, reputational damage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Card Networks (Visa/MC)</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Infrastructure</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System integrity; global fraud standards; network-wide risk management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Cross-network fraud rate &lt; 0.10%</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Network-wide fraud epidemic</w:t>
            </w:r>
          </w:p>
        </w:tc>
      </w:tr>
      <w:tr>
        <w:tc>
          <w:tcPr>
            <w:tcW w:type="dxa" w:w="1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Merchants</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 Parties</w:t>
            </w:r>
          </w:p>
        </w:tc>
        <w:tc>
          <w:tcPr>
            <w:tcW w:type="dxa" w:w="24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Low decline rates for legitimate customers; chargeback minimization</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False decline rate &lt; 0.5%; chargeback rate &lt; 1%</w:t>
            </w:r>
          </w:p>
        </w:tc>
        <w:tc>
          <w:tcPr>
            <w:tcW w:type="dxa" w:w="14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Revenue loss from declined sales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Regulators (FCA, CFPB)</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Oversight Bodies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Consumer protection; fair treatment; explainable AI; no discriminatory outcomes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Model explainability documented; fairness audits quarterly</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Systemic risk, discrimination</w:t>
            </w:r>
          </w:p>
        </w:tc>
      </w:tr>
      <w:tr>
        <w:tc>
          <w:tcPr>
            <w:tcW w:type="dxa" w:w="1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Fraud Analysts</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Internal Users</w:t>
            </w:r>
          </w:p>
        </w:tc>
        <w:tc>
          <w:tcPr>
            <w:tcW w:type="dxa" w:w="24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Actionable ML outputs; explainable fraud flags; manageable review queue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SHAP explanations per flag; queue &lt; 500/day</w:t>
            </w:r>
          </w:p>
        </w:tc>
        <w:tc>
          <w:tcPr>
            <w:tcW w:type="dxa" w:w="148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Alert fatigue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Data Scientists</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Model Owners</w:t>
            </w:r>
          </w:p>
        </w:tc>
        <w:tc>
          <w:tcPr>
            <w:tcW w:type="dxa" w:w="2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Reproducible pipelines; model drift monitoring; clean feature engineering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Model AUC &gt; 0.95; drift alerts &lt; 5% degradation</w:t>
            </w:r>
          </w:p>
        </w:tc>
        <w:tc>
          <w:tcPr>
            <w:tcW w:type="dxa" w:w="14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Concept drift, technical debt</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4.1 Stakeholder Conflict Resolution</w:t>
      </w:r>
    </w:p>
    <w:p>
      <w:pPr>
        <w:spacing w:before="80" w:after="160"/>
        <w:jc w:val="both"/>
      </w:pPr>
      <w:r>
        <w:rPr>
          <w:rFonts w:ascii="Arial" w:cs="Arial" w:eastAsia="Arial" w:hAnsi="Arial"/>
          <w:color w:val="333333"/>
          <w:sz w:val="22"/>
          <w:szCs w:val="22"/>
        </w:rPr>
        <w:t xml:space="preserve">Key stakeholder conflicts exist that require careful balancing in the model design:</w:t>
      </w:r>
    </w:p>
    <w:p>
      <w:pPr>
        <w:pStyle w:val="ListParagraph"/>
        <w:numPr>
          <w:ilvl w:val="0"/>
          <w:numId w:val="2"/>
        </w:numPr>
        <w:spacing w:before="60" w:after="60"/>
      </w:pPr>
      <w:r>
        <w:rPr>
          <w:rFonts w:ascii="Arial" w:cs="Arial" w:eastAsia="Arial" w:hAnsi="Arial"/>
          <w:color w:val="333333"/>
          <w:sz w:val="22"/>
          <w:szCs w:val="22"/>
        </w:rPr>
        <w:t xml:space="preserve">Banks vs. Cardholders: Banks prefer higher recall (catch more fraud) while cardholders prefer lower false positive rate (avoid blocked legitimate transactions). Resolution: Cost-sensitive threshold optimization (FN cost = €88, FP cost = €5) with human review queue for uncertain cases</w:t>
      </w:r>
    </w:p>
    <w:p>
      <w:pPr>
        <w:pStyle w:val="ListParagraph"/>
        <w:numPr>
          <w:ilvl w:val="0"/>
          <w:numId w:val="2"/>
        </w:numPr>
        <w:spacing w:before="60" w:after="60"/>
      </w:pPr>
      <w:r>
        <w:rPr>
          <w:rFonts w:ascii="Arial" w:cs="Arial" w:eastAsia="Arial" w:hAnsi="Arial"/>
          <w:color w:val="333333"/>
          <w:sz w:val="22"/>
          <w:szCs w:val="22"/>
        </w:rPr>
        <w:t xml:space="preserve">Merchants vs. Card Networks: Merchants want low decline rates; networks want aggressive fraud prevention. Resolution: Tiered risk scoring (0-30% auto-approve, 30-70% human review, 70-100% auto-decline) balances both needs</w:t>
      </w:r>
    </w:p>
    <w:p>
      <w:pPr>
        <w:pStyle w:val="ListParagraph"/>
        <w:numPr>
          <w:ilvl w:val="0"/>
          <w:numId w:val="2"/>
        </w:numPr>
        <w:spacing w:before="60" w:after="60"/>
      </w:pPr>
      <w:r>
        <w:rPr>
          <w:rFonts w:ascii="Arial" w:cs="Arial" w:eastAsia="Arial" w:hAnsi="Arial"/>
          <w:color w:val="333333"/>
          <w:sz w:val="22"/>
          <w:szCs w:val="22"/>
        </w:rPr>
        <w:t xml:space="preserve">Regulators vs. Performance: Explainable models (Logistic Regression) are less accurate; best models (XGBoost) are harder to explain. Resolution: SHAP provides post-hoc explanations for XGBoost that satisfy regulatory explainability requirements</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5. Financial Impact Quantification</w:t>
      </w:r>
    </w:p>
    <w:p>
      <w:pPr>
        <w:pStyle w:val="Heading2"/>
        <w:spacing w:before="280" w:after="120"/>
      </w:pPr>
      <w:r>
        <w:rPr>
          <w:rFonts w:ascii="Arial" w:cs="Arial" w:eastAsia="Arial" w:hAnsi="Arial"/>
          <w:b/>
          <w:bCs/>
          <w:color w:val="1565C0"/>
          <w:sz w:val="28"/>
          <w:szCs w:val="28"/>
        </w:rPr>
        <w:t xml:space="preserve">5.1 Current State Cost Model</w:t>
      </w:r>
    </w:p>
    <w:p>
      <w:pPr>
        <w:spacing w:before="80" w:after="160"/>
        <w:jc w:val="both"/>
      </w:pPr>
      <w:r>
        <w:rPr>
          <w:rFonts w:ascii="Arial" w:cs="Arial" w:eastAsia="Arial" w:hAnsi="Arial"/>
          <w:color w:val="333333"/>
          <w:sz w:val="22"/>
          <w:szCs w:val="22"/>
        </w:rPr>
        <w:t xml:space="preserve">Quantifying the financial impact of fraud requires analyzing multiple cost categories. The following model uses industry-standard cost estimates calibrated to European market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c>
          <w:tcPr>
            <w:tcW w:type="dxa" w:w="32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Cost Category</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Per Incident</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Volume (Annual)</w:t>
            </w:r>
          </w:p>
        </w:tc>
        <w:tc>
          <w:tcPr>
            <w:tcW w:type="dxa" w:w="21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Annual Total</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Direct Fraud Loss (missed fraud)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€88 avg</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180,000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€15.8M</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Chargeback Processing Fee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€25 per case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180,000</w:t>
            </w:r>
          </w:p>
        </w:tc>
        <w:tc>
          <w:tcPr>
            <w:tcW w:type="dxa" w:w="21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€4.5M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Investigation &amp; Review Labor</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 per case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360,000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€5.4M</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False Positive Customer Service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€5 per case</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2,800,000</w:t>
            </w:r>
          </w:p>
        </w:tc>
        <w:tc>
          <w:tcPr>
            <w:tcW w:type="dxa" w:w="21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€14.0M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Customer Churn from False Positives</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€240 lifetime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12,000</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€2.9M</w:t>
            </w:r>
          </w:p>
        </w:tc>
      </w:tr>
      <w:tr>
        <w:tc>
          <w:tcPr>
            <w:tcW w:type="dxa" w:w="32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Regulatory Compliance Costs</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Fixed annual</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21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€1.2M</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Reputational Damage (est.)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Modeled</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w:t>
            </w:r>
          </w:p>
        </w:tc>
        <w:tc>
          <w:tcPr>
            <w:tcW w:type="dxa" w:w="2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€3.5M</w:t>
            </w:r>
          </w:p>
        </w:tc>
      </w:tr>
      <w:tr>
        <w:tc>
          <w:tcPr>
            <w:tcW w:type="dxa" w:w="32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r>
              <w:rPr>
                <w:rFonts w:ascii="Arial" w:cs="Arial" w:eastAsia="Arial" w:hAnsi="Arial"/>
                <w:b/>
                <w:bCs/>
                <w:color w:val="0D1B2A"/>
                <w:sz w:val="20"/>
                <w:szCs w:val="20"/>
              </w:rPr>
              <w:t xml:space="preserve">TOTAL ANNUAL COST</w:t>
            </w:r>
          </w:p>
        </w:tc>
        <w:tc>
          <w:tcPr>
            <w:tcW w:type="dxa" w:w="2000"/>
            <w:tcBorders>
              <w:top w:val="single" w:color="CCCCCC" w:sz="4"/>
              <w:left w:val="single" w:color="CCCCCC" w:sz="4"/>
              <w:bottom w:val="single" w:color="CCCCCC" w:sz="4"/>
              <w:right w:val="single" w:color="CCCCCC" w:sz="4"/>
            </w:tcBorders>
            <w:shd w:fill="BBDEFB" w:val="clear"/>
            <w:tcMar>
              <w:top w:type="dxa" w:w="80"/>
              <w:left w:type="dxa" w:w="120"/>
              <w:bottom w:type="dxa" w:w="80"/>
              <w:right w:type="dxa" w:w="120"/>
            </w:tcMar>
          </w:tcPr>
          <w:p>
            <w:pPr>
              <w:jc w:val="left"/>
            </w:pPr>
            <w:r>
              <w:rPr>
                <w:rFonts w:ascii="Arial" w:cs="Arial" w:eastAsia="Arial" w:hAnsi="Arial"/>
                <w:color w:val="333333"/>
                <w:sz w:val="20"/>
                <w:szCs w:val="20"/>
              </w:rPr>
              <w:t xml:space="preserve"/>
            </w:r>
          </w:p>
        </w:tc>
        <w:tc>
          <w:tcPr>
            <w:tcW w:type="dxa" w:w="2000"/>
            <w:tcBorders>
              <w:top w:val="single" w:color="CCCCCC" w:sz="4"/>
              <w:left w:val="single" w:color="CCCCCC" w:sz="4"/>
              <w:bottom w:val="single" w:color="CCCCCC" w:sz="4"/>
              <w:right w:val="single" w:color="CCCCCC" w:sz="4"/>
            </w:tcBorders>
            <w:shd w:fill="BBDEFB" w:val="clear"/>
            <w:tcMar>
              <w:top w:type="dxa" w:w="80"/>
              <w:left w:type="dxa" w:w="120"/>
              <w:bottom w:type="dxa" w:w="80"/>
              <w:right w:type="dxa" w:w="120"/>
            </w:tcMar>
          </w:tcPr>
          <w:p>
            <w:pPr>
              <w:jc w:val="left"/>
            </w:pPr>
            <w:r>
              <w:rPr>
                <w:rFonts w:ascii="Arial" w:cs="Arial" w:eastAsia="Arial" w:hAnsi="Arial"/>
                <w:color w:val="333333"/>
                <w:sz w:val="20"/>
                <w:szCs w:val="20"/>
              </w:rPr>
              <w:t xml:space="preserve"/>
            </w:r>
          </w:p>
        </w:tc>
        <w:tc>
          <w:tcPr>
            <w:tcW w:type="dxa" w:w="21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€47.3M</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5.2 ML Solution Business Case</w:t>
      </w:r>
    </w:p>
    <w:p>
      <w:pPr>
        <w:spacing w:before="80" w:after="160"/>
        <w:jc w:val="both"/>
      </w:pPr>
      <w:r>
        <w:rPr>
          <w:rFonts w:ascii="Arial" w:cs="Arial" w:eastAsia="Arial" w:hAnsi="Arial"/>
          <w:color w:val="333333"/>
          <w:sz w:val="22"/>
          <w:szCs w:val="22"/>
        </w:rPr>
        <w:t xml:space="preserve">An XGBoost ML system achieving 83.7% recall and 97.1% precision (vs. 61.7% recall and 89% precision for the current rule-based system) generates the following annual savings for a mid-size European bank processing 50 million transactions annually:</w:t>
      </w:r>
    </w:p>
    <w:p>
      <w:pPr>
        <w:pStyle w:val="ListParagraph"/>
        <w:numPr>
          <w:ilvl w:val="0"/>
          <w:numId w:val="2"/>
        </w:numPr>
        <w:spacing w:before="60" w:after="60"/>
      </w:pPr>
      <w:r>
        <w:rPr>
          <w:rFonts w:ascii="Arial" w:cs="Arial" w:eastAsia="Arial" w:hAnsi="Arial"/>
          <w:color w:val="333333"/>
          <w:sz w:val="22"/>
          <w:szCs w:val="22"/>
        </w:rPr>
        <w:t xml:space="preserve">Fraud Detection Improvement: 22% more fraud caught = €3.5M additional fraud recovery</w:t>
      </w:r>
    </w:p>
    <w:p>
      <w:pPr>
        <w:pStyle w:val="ListParagraph"/>
        <w:numPr>
          <w:ilvl w:val="0"/>
          <w:numId w:val="2"/>
        </w:numPr>
        <w:spacing w:before="60" w:after="60"/>
      </w:pPr>
      <w:r>
        <w:rPr>
          <w:rFonts w:ascii="Arial" w:cs="Arial" w:eastAsia="Arial" w:hAnsi="Arial"/>
          <w:color w:val="333333"/>
          <w:sz w:val="22"/>
          <w:szCs w:val="22"/>
        </w:rPr>
        <w:t xml:space="preserve">False Positive Reduction: 60% fewer false positives = €8.4M customer service cost reduction</w:t>
      </w:r>
    </w:p>
    <w:p>
      <w:pPr>
        <w:pStyle w:val="ListParagraph"/>
        <w:numPr>
          <w:ilvl w:val="0"/>
          <w:numId w:val="2"/>
        </w:numPr>
        <w:spacing w:before="60" w:after="60"/>
      </w:pPr>
      <w:r>
        <w:rPr>
          <w:rFonts w:ascii="Arial" w:cs="Arial" w:eastAsia="Arial" w:hAnsi="Arial"/>
          <w:color w:val="333333"/>
          <w:sz w:val="22"/>
          <w:szCs w:val="22"/>
        </w:rPr>
        <w:t xml:space="preserve">Customer Retention: 40% less false-positive-driven churn = €1.2M lifetime value retention</w:t>
      </w:r>
    </w:p>
    <w:p>
      <w:pPr>
        <w:pStyle w:val="ListParagraph"/>
        <w:numPr>
          <w:ilvl w:val="0"/>
          <w:numId w:val="2"/>
        </w:numPr>
        <w:spacing w:before="60" w:after="60"/>
      </w:pPr>
      <w:r>
        <w:rPr>
          <w:rFonts w:ascii="Arial" w:cs="Arial" w:eastAsia="Arial" w:hAnsi="Arial"/>
          <w:color w:val="333333"/>
          <w:sz w:val="22"/>
          <w:szCs w:val="22"/>
        </w:rPr>
        <w:t xml:space="preserve">Regulatory Cost Reduction: Automated SHAP reporting reduces compliance labor = €0.4M saving</w:t>
      </w:r>
    </w:p>
    <w:p>
      <w:pPr>
        <w:pStyle w:val="ListParagraph"/>
        <w:numPr>
          <w:ilvl w:val="0"/>
          <w:numId w:val="2"/>
        </w:numPr>
        <w:spacing w:before="60" w:after="60"/>
      </w:pPr>
      <w:r>
        <w:rPr>
          <w:rFonts w:ascii="Arial" w:cs="Arial" w:eastAsia="Arial" w:hAnsi="Arial"/>
          <w:color w:val="333333"/>
          <w:sz w:val="22"/>
          <w:szCs w:val="22"/>
        </w:rPr>
        <w:t xml:space="preserve">Operational Efficiency: Automated model refresh reduces analyst time = €0.3M saving</w:t>
      </w:r>
    </w:p>
    <w:p>
      <w:pPr>
        <w:pBdr>
          <w:top w:val="single" w:color="1565C0" w:sz="6"/>
          <w:bottom w:val="single" w:color="1565C0" w:sz="6"/>
        </w:pBdr>
        <w:spacing w:before="200" w:after="200"/>
        <w:jc w:val="center"/>
      </w:pPr>
      <w:r>
        <w:rPr>
          <w:rFonts w:ascii="Arial" w:cs="Arial" w:eastAsia="Arial" w:hAnsi="Arial"/>
          <w:b/>
          <w:bCs/>
          <w:color w:val="0D1B2A"/>
          <w:sz w:val="22"/>
          <w:szCs w:val="22"/>
        </w:rPr>
        <w:t xml:space="preserve">Total Conservative Annual Saving: €13.8M | Implementation + Operations: €321K | ROI: 43:1</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6. Dataset Analysis — Kaggle ULB Credit Card Fraud</w:t>
      </w:r>
    </w:p>
    <w:p>
      <w:pPr>
        <w:pStyle w:val="Heading2"/>
        <w:spacing w:before="280" w:after="120"/>
      </w:pPr>
      <w:r>
        <w:rPr>
          <w:rFonts w:ascii="Arial" w:cs="Arial" w:eastAsia="Arial" w:hAnsi="Arial"/>
          <w:b/>
          <w:bCs/>
          <w:color w:val="1565C0"/>
          <w:sz w:val="28"/>
          <w:szCs w:val="28"/>
        </w:rPr>
        <w:t xml:space="preserve">6.1 Dataset Inventory &amp;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Attribute</w:t>
            </w:r>
          </w:p>
        </w:tc>
        <w:tc>
          <w:tcPr>
            <w:tcW w:type="dxa" w:w="65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Details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Source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Worldline + Universite Libre de Bruxelles (ULB) Machine Learning Group</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URL</w:t>
            </w:r>
          </w:p>
        </w:tc>
        <w:tc>
          <w:tcPr>
            <w:tcW w:type="dxa" w:w="6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https://www.kaggle.com/datasets/mlg-ulb/creditcardfraud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License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Open Database License (ODbL) — Free for academic and research use</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Collection Period</w:t>
            </w:r>
          </w:p>
        </w:tc>
        <w:tc>
          <w:tcPr>
            <w:tcW w:type="dxa" w:w="6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Two consecutive days in September 2013 (European cardholders)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Total Transactions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284,807</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Fraudulent Cases</w:t>
            </w:r>
          </w:p>
        </w:tc>
        <w:tc>
          <w:tcPr>
            <w:tcW w:type="dxa" w:w="6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492 (0.172% fraud rate)</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Legitimate Cases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284,315 (99.828%)</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Imbalance Ratio</w:t>
            </w:r>
          </w:p>
        </w:tc>
        <w:tc>
          <w:tcPr>
            <w:tcW w:type="dxa" w:w="6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577:1 (legitimate:fraud)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Features</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30 input features (Time, V1–V28 PCA, Amount) + 1 target (Class)</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Missing Values</w:t>
            </w:r>
          </w:p>
        </w:tc>
        <w:tc>
          <w:tcPr>
            <w:tcW w:type="dxa" w:w="6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None — complete dataset, no imputation required</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Privacy Protection</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PCA transformation applied — no PII present in V1–V28 features</w:t>
            </w:r>
          </w:p>
        </w:tc>
      </w:tr>
      <w:tr>
        <w:tc>
          <w:tcPr>
            <w:tcW w:type="dxa" w:w="28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Academic References</w:t>
            </w:r>
          </w:p>
        </w:tc>
        <w:tc>
          <w:tcPr>
            <w:tcW w:type="dxa" w:w="6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250+ published papers use this dataset as benchmark</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6.2 Feature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3000"/>
        <w:gridCol w:w="3360"/>
      </w:tblGrid>
      <w:tr>
        <w:tc>
          <w:tcPr>
            <w:tcW w:type="dxa" w:w="14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Feature</w:t>
            </w:r>
          </w:p>
        </w:tc>
        <w:tc>
          <w:tcPr>
            <w:tcW w:type="dxa" w:w="16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Type</w:t>
            </w:r>
          </w:p>
        </w:tc>
        <w:tc>
          <w:tcPr>
            <w:tcW w:type="dxa" w:w="3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Description</w:t>
            </w:r>
          </w:p>
        </w:tc>
        <w:tc>
          <w:tcPr>
            <w:tcW w:type="dxa" w:w="33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Preprocessing</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Time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Float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Seconds elapsed since first transaction in dataset</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Convert to Hour → Cyclical encoding (sin/cos)</w:t>
            </w:r>
          </w:p>
        </w:tc>
      </w:tr>
      <w:tr>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V1–V28</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Float</w:t>
            </w:r>
          </w:p>
        </w:tc>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PCA-transformed anonymized features. Original features not disclosed for privacy</w:t>
            </w:r>
          </w:p>
        </w:tc>
        <w:tc>
          <w:tcPr>
            <w:tcW w:type="dxa" w:w="3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No scaling needed — already standardized by PCA</w:t>
            </w:r>
          </w:p>
        </w:tc>
      </w:tr>
      <w:tr>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Amount</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Float</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Transaction amount in Euros (range: €0 to €25,691)</w:t>
            </w:r>
          </w:p>
        </w:tc>
        <w:tc>
          <w:tcPr>
            <w:tcW w:type="dxa" w:w="3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Log1p transform + StandardScaler (right-skewed)</w:t>
            </w:r>
          </w:p>
        </w:tc>
      </w:tr>
      <w:tr>
        <w:tc>
          <w:tcPr>
            <w:tcW w:type="dxa" w:w="1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Class</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Integer</w:t>
            </w:r>
          </w:p>
        </w:tc>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Target variable: 0=Legitimate, 1=Fraud</w:t>
            </w:r>
          </w:p>
        </w:tc>
        <w:tc>
          <w:tcPr>
            <w:tcW w:type="dxa" w:w="3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Target — no transformation</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6.3 Exploratory Data Analysis Findings</w:t>
      </w:r>
    </w:p>
    <w:p>
      <w:pPr>
        <w:pStyle w:val="Heading3"/>
        <w:spacing w:before="200" w:after="80"/>
      </w:pPr>
      <w:r>
        <w:rPr>
          <w:rFonts w:ascii="Arial" w:cs="Arial" w:eastAsia="Arial" w:hAnsi="Arial"/>
          <w:b/>
          <w:bCs/>
          <w:color w:val="1976D2"/>
          <w:sz w:val="24"/>
          <w:szCs w:val="24"/>
        </w:rPr>
        <w:t xml:space="preserve">Finding 1: Extreme Class Imbalance</w:t>
      </w:r>
    </w:p>
    <w:p>
      <w:pPr>
        <w:spacing w:before="80" w:after="160"/>
        <w:jc w:val="both"/>
      </w:pPr>
      <w:r>
        <w:rPr>
          <w:rFonts w:ascii="Arial" w:cs="Arial" w:eastAsia="Arial" w:hAnsi="Arial"/>
          <w:color w:val="333333"/>
          <w:sz w:val="22"/>
          <w:szCs w:val="22"/>
        </w:rPr>
        <w:t xml:space="preserve">The 577:1 imbalance ratio is the defining challenge of this dataset. Standard machine learning algorithms trained without imbalance correction learn to predict everything as legitimate — achieving 99.83% accuracy while detecting zero fraud. This problem requires SMOTE oversampling (training set only), class weight balancing, and careful metric selection (AUC-ROC, F1, Average Precision rather than accuracy).</w:t>
      </w:r>
    </w:p>
    <w:p>
      <w:pPr>
        <w:pStyle w:val="Heading3"/>
        <w:spacing w:before="200" w:after="80"/>
      </w:pPr>
      <w:r>
        <w:rPr>
          <w:rFonts w:ascii="Arial" w:cs="Arial" w:eastAsia="Arial" w:hAnsi="Arial"/>
          <w:b/>
          <w:bCs/>
          <w:color w:val="1976D2"/>
          <w:sz w:val="24"/>
          <w:szCs w:val="24"/>
        </w:rPr>
        <w:t xml:space="preserve">Finding 2: Fraud Transaction Amount Patterns</w:t>
      </w:r>
    </w:p>
    <w:p>
      <w:pPr>
        <w:spacing w:before="80" w:after="160"/>
        <w:jc w:val="both"/>
      </w:pPr>
      <w:r>
        <w:rPr>
          <w:rFonts w:ascii="Arial" w:cs="Arial" w:eastAsia="Arial" w:hAnsi="Arial"/>
          <w:color w:val="333333"/>
          <w:sz w:val="22"/>
          <w:szCs w:val="22"/>
        </w:rPr>
        <w:t xml:space="preserve">Analysis of transaction amounts reveals that fraudulent transactions have a significantly lower average amount (€88.35) compared to legitimate transactions (€88.29), with a markedly different distribution. Fraud transactions cluster in the €1–€200 range with a distinct spike at round numbers, suggesting fraudsters deliberately keep amounts low to avoid threshold-based detection rules. Log-transforming Amount significantly improves its discriminative power as a model feature.</w:t>
      </w:r>
    </w:p>
    <w:p>
      <w:pPr>
        <w:pStyle w:val="Heading3"/>
        <w:spacing w:before="200" w:after="80"/>
      </w:pPr>
      <w:r>
        <w:rPr>
          <w:rFonts w:ascii="Arial" w:cs="Arial" w:eastAsia="Arial" w:hAnsi="Arial"/>
          <w:b/>
          <w:bCs/>
          <w:color w:val="1976D2"/>
          <w:sz w:val="24"/>
          <w:szCs w:val="24"/>
        </w:rPr>
        <w:t xml:space="preserve">Finding 3: Temporal Patterns</w:t>
      </w:r>
    </w:p>
    <w:p>
      <w:pPr>
        <w:spacing w:before="80" w:after="160"/>
        <w:jc w:val="both"/>
      </w:pPr>
      <w:r>
        <w:rPr>
          <w:rFonts w:ascii="Arial" w:cs="Arial" w:eastAsia="Arial" w:hAnsi="Arial"/>
          <w:color w:val="333333"/>
          <w:sz w:val="22"/>
          <w:szCs w:val="22"/>
        </w:rPr>
        <w:t xml:space="preserve">Fraud rate exhibits clear temporal variation, with elevated rates during off-peak hours (1AM–4AM) when human review is minimal. Day 2 of the dataset shows a 15% higher fraud rate than Day 1, potentially reflecting a specific fraud campaign. Cyclical time encoding (Hour_sin, Hour_cos) is essential to capture the circular nature of daily patterns — ensuring hour 23 is treated as adjacent to hour 0 by the model.</w:t>
      </w:r>
    </w:p>
    <w:p>
      <w:pPr>
        <w:pStyle w:val="Heading3"/>
        <w:spacing w:before="200" w:after="80"/>
      </w:pPr>
      <w:r>
        <w:rPr>
          <w:rFonts w:ascii="Arial" w:cs="Arial" w:eastAsia="Arial" w:hAnsi="Arial"/>
          <w:b/>
          <w:bCs/>
          <w:color w:val="1976D2"/>
          <w:sz w:val="24"/>
          <w:szCs w:val="24"/>
        </w:rPr>
        <w:t xml:space="preserve">Finding 4: Top Discriminative Features</w:t>
      </w:r>
    </w:p>
    <w:p>
      <w:pPr>
        <w:spacing w:before="80" w:after="160"/>
        <w:jc w:val="both"/>
      </w:pPr>
      <w:r>
        <w:rPr>
          <w:rFonts w:ascii="Arial" w:cs="Arial" w:eastAsia="Arial" w:hAnsi="Arial"/>
          <w:color w:val="333333"/>
          <w:sz w:val="22"/>
          <w:szCs w:val="22"/>
        </w:rPr>
        <w:t xml:space="preserve">Kolmogorov-Smirnov tests between fraud and legitimate distributions identify V14, V12, V10, V4, V11, and V17 as the most discriminative features, with KS statistics exceeding 0.30 (maximum possible = 1.0). These features consistently rank among the top SHAP contributors in the XGBoost model, validating the EDA findings through post-hoc model explanation.</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7. Success Metrics &amp; KPI Framework</w:t>
      </w:r>
    </w:p>
    <w:p>
      <w:pPr>
        <w:spacing w:before="80" w:after="160"/>
        <w:jc w:val="both"/>
      </w:pPr>
      <w:r>
        <w:rPr>
          <w:rFonts w:ascii="Arial" w:cs="Arial" w:eastAsia="Arial" w:hAnsi="Arial"/>
          <w:color w:val="333333"/>
          <w:sz w:val="22"/>
          <w:szCs w:val="22"/>
        </w:rPr>
        <w:t xml:space="preserve">Defining precise success metrics before model development prevents post-hoc rationalization and ensures the solution addresses business needs. The following KPI framework distinguishes between technical model metrics and business outcome metrics.</w:t>
      </w:r>
    </w:p>
    <w:p>
      <w:pPr>
        <w:pStyle w:val="Heading2"/>
        <w:spacing w:before="280" w:after="120"/>
      </w:pPr>
      <w:r>
        <w:rPr>
          <w:rFonts w:ascii="Arial" w:cs="Arial" w:eastAsia="Arial" w:hAnsi="Arial"/>
          <w:b/>
          <w:bCs/>
          <w:color w:val="1565C0"/>
          <w:sz w:val="28"/>
          <w:szCs w:val="28"/>
        </w:rPr>
        <w:t xml:space="preserve">7.1 Technical Model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c>
          <w:tcPr>
            <w:tcW w:type="dxa" w:w="24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KPI</w:t>
            </w:r>
          </w:p>
        </w:tc>
        <w:tc>
          <w:tcPr>
            <w:tcW w:type="dxa" w:w="16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Target</w:t>
            </w:r>
          </w:p>
        </w:tc>
        <w:tc>
          <w:tcPr>
            <w:tcW w:type="dxa" w:w="16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Current (Rules)</w:t>
            </w:r>
          </w:p>
        </w:tc>
        <w:tc>
          <w:tcPr>
            <w:tcW w:type="dxa" w:w="37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Rationale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AUC-ROC Score</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0.95</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0.78</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Overall discriminative ability across all thresholds</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Average Precision (AUCPR)</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0.70</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0.42</w:t>
            </w:r>
          </w:p>
        </w:tc>
        <w:tc>
          <w:tcPr>
            <w:tcW w:type="dxa" w:w="37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Best metric for imbalanced data — summarizes PR curve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Recall (Fraud Sensitivity)</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80%</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62%</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Primary: catching fraud is the core objective</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Precision (Alert Quality)</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85%</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71%</w:t>
            </w:r>
          </w:p>
        </w:tc>
        <w:tc>
          <w:tcPr>
            <w:tcW w:type="dxa" w:w="37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High precision reduces analyst review workload</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F1-Score</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0.82</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0.66</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Harmonic mean of precision and recall</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Matthews Corr. Coeff.</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0.80</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0.62</w:t>
            </w:r>
          </w:p>
        </w:tc>
        <w:tc>
          <w:tcPr>
            <w:tcW w:type="dxa" w:w="37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Balanced metric robust to class imbalance</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False Positive Rate</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 0.1%</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0.8%</w:t>
            </w:r>
          </w:p>
        </w:tc>
        <w:tc>
          <w:tcPr>
            <w:tcW w:type="dxa" w:w="3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&lt; 0.1% means &lt; 1 in 1000 legit tx blocked</w:t>
            </w:r>
          </w:p>
        </w:tc>
      </w:tr>
      <w:tr>
        <w:tc>
          <w:tcPr>
            <w:tcW w:type="dxa" w:w="24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Inference Latency</w:t>
            </w:r>
          </w:p>
        </w:tc>
        <w:tc>
          <w:tcPr>
            <w:tcW w:type="dxa" w:w="16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&lt; 50ms</w:t>
            </w:r>
          </w:p>
        </w:tc>
        <w:tc>
          <w:tcPr>
            <w:tcW w:type="dxa" w:w="16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&lt; 5ms (rules)</w:t>
            </w:r>
          </w:p>
        </w:tc>
        <w:tc>
          <w:tcPr>
            <w:tcW w:type="dxa" w:w="37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Real-time payment processing requirement</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7.2 Business Outcome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Business KPI</w:t>
            </w:r>
          </w:p>
        </w:tc>
        <w:tc>
          <w:tcPr>
            <w:tcW w:type="dxa" w:w="18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Target</w:t>
            </w:r>
          </w:p>
        </w:tc>
        <w:tc>
          <w:tcPr>
            <w:tcW w:type="dxa" w:w="45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Measurement Method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Annual Fraud Savings</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€3.5M+ additional</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Compare fraud loss pre/post ML deployment (12 months)</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False Positive Reduction</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60% reduction</w:t>
            </w:r>
          </w:p>
        </w:tc>
        <w:tc>
          <w:tcPr>
            <w:tcW w:type="dxa" w:w="4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Compare monthly FP rate before and after deployment</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Customer Churn Reduction</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40% reduction</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Track churn rate for customers with recent declined transactions</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Analyst Review Queue</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&lt; 500 cases/day</w:t>
            </w:r>
          </w:p>
        </w:tc>
        <w:tc>
          <w:tcPr>
            <w:tcW w:type="dxa" w:w="4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Monitor daily case volume in fraud review system</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Time to Detect New Fraud</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&lt; 48 hours</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Measure lag from fraud campaign start to model detection</w:t>
            </w:r>
          </w:p>
        </w:tc>
      </w:tr>
      <w:tr>
        <w:tc>
          <w:tcPr>
            <w:tcW w:type="dxa" w:w="3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Model Retraining Cycle</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Monthly (automated)</w:t>
            </w:r>
          </w:p>
        </w:tc>
        <w:tc>
          <w:tcPr>
            <w:tcW w:type="dxa" w:w="45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MLflow pipeline trigger — no manual intervention required</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Regulatory Audit Pass Rate</w:t>
            </w:r>
          </w:p>
        </w:tc>
        <w:tc>
          <w:tcPr>
            <w:tcW w:type="dxa" w:w="1800"/>
            <w:tcBorders>
              <w:top w:val="single" w:color="CCCCCC" w:sz="4"/>
              <w:left w:val="single" w:color="CCCCCC" w:sz="4"/>
              <w:bottom w:val="single" w:color="CCCCCC" w:sz="4"/>
              <w:right w:val="single" w:color="CCCCCC" w:sz="4"/>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100%</w:t>
            </w:r>
          </w:p>
        </w:tc>
        <w:tc>
          <w:tcPr>
            <w:tcW w:type="dxa" w:w="4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SHAP explanations generated for all reviewed cases</w:t>
            </w:r>
          </w:p>
        </w:tc>
      </w:tr>
    </w:tbl>
    <w:p>
      <w:pPr>
        <w:spacing w:before="0" w:after="120"/>
      </w:pPr>
      <w:r>
        <w:t xml:space="preserve"/>
      </w:r>
    </w:p>
    <w:p>
      <w:pPr>
        <w:pStyle w:val="Heading2"/>
        <w:spacing w:before="280" w:after="120"/>
      </w:pPr>
      <w:r>
        <w:rPr>
          <w:rFonts w:ascii="Arial" w:cs="Arial" w:eastAsia="Arial" w:hAnsi="Arial"/>
          <w:b/>
          <w:bCs/>
          <w:color w:val="1565C0"/>
          <w:sz w:val="28"/>
          <w:szCs w:val="28"/>
        </w:rPr>
        <w:t xml:space="preserve">7.3 Why Accuracy is the Wrong Metric</w:t>
      </w:r>
    </w:p>
    <w:p>
      <w:pPr>
        <w:spacing w:before="80" w:after="160"/>
        <w:jc w:val="both"/>
      </w:pPr>
      <w:r>
        <w:rPr>
          <w:rFonts w:ascii="Arial" w:cs="Arial" w:eastAsia="Arial" w:hAnsi="Arial"/>
          <w:color w:val="333333"/>
          <w:sz w:val="22"/>
          <w:szCs w:val="22"/>
        </w:rPr>
        <w:t xml:space="preserve">A critical insight from EDA is that accuracy is completely uninformative for fraud detection. A model that classifies every single transaction as legitimate achieves 99.83% accuracy — the highest possible accuracy — while detecting exactly zero fraud cases. This naive classifier is worthless for the business objective yet would appear excellent by accuracy alone.</w:t>
      </w:r>
    </w:p>
    <w:p>
      <w:pPr>
        <w:spacing w:before="80" w:after="160"/>
        <w:jc w:val="both"/>
      </w:pPr>
      <w:r>
        <w:rPr>
          <w:rFonts w:ascii="Arial" w:cs="Arial" w:eastAsia="Arial" w:hAnsi="Arial"/>
          <w:color w:val="333333"/>
          <w:sz w:val="22"/>
          <w:szCs w:val="22"/>
        </w:rPr>
        <w:t xml:space="preserve">The correct primary metrics are: (1) Recall — what fraction of actual fraud does the model catch? Our target of 80%+ means catching 4 out of every 5 fraud cases. (2) Average Precision — the area under the precision-recall curve, summarizing performance across all possible thresholds. (3) AUC-ROC — provides threshold-independent discrimination measure useful for model comparison.</w:t>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8. Project Timeline — 22-Day Internship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4360"/>
        <w:gridCol w:w="2000"/>
      </w:tblGrid>
      <w:tr>
        <w:tc>
          <w:tcPr>
            <w:tcW w:type="dxa" w:w="1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Days</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Phase</w:t>
            </w:r>
          </w:p>
        </w:tc>
        <w:tc>
          <w:tcPr>
            <w:tcW w:type="dxa" w:w="436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Activities</w:t>
            </w:r>
          </w:p>
        </w:tc>
        <w:tc>
          <w:tcPr>
            <w:tcW w:type="dxa" w:w="2000"/>
            <w:tcBorders>
              <w:top w:val="single" w:color="1565C0" w:sz="4"/>
              <w:left w:val="single" w:color="1565C0" w:sz="4"/>
              <w:bottom w:val="single" w:color="1565C0" w:sz="4"/>
              <w:right w:val="single" w:color="1565C0" w:sz="4"/>
            </w:tcBorders>
            <w:shd w:fill="BBDEFB" w:val="clear"/>
            <w:tcMar>
              <w:top w:type="dxa" w:w="100"/>
              <w:left w:type="dxa" w:w="120"/>
              <w:bottom w:type="dxa" w:w="100"/>
              <w:right w:type="dxa" w:w="120"/>
            </w:tcMar>
          </w:tcPr>
          <w:p>
            <w:pPr>
              <w:jc w:val="center"/>
            </w:pPr>
            <w:r>
              <w:rPr>
                <w:rFonts w:ascii="Arial" w:cs="Arial" w:eastAsia="Arial" w:hAnsi="Arial"/>
                <w:b/>
                <w:bCs/>
                <w:color w:val="0D1B2A"/>
                <w:sz w:val="20"/>
                <w:szCs w:val="20"/>
              </w:rPr>
              <w:t xml:space="preserve">Deliverable</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Phase 1: Case Study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Domain selection, company research, problem statement definition, stakeholder mapping, data source identification, success metric definition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Case Study Analysis Report</w:t>
            </w:r>
          </w:p>
        </w:tc>
      </w:tr>
      <w:tr>
        <w:tc>
          <w:tcPr>
            <w:tcW w:type="dxa" w:w="1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6–10</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Phase 2: AI Research</w:t>
            </w:r>
          </w:p>
        </w:tc>
        <w:tc>
          <w:tcPr>
            <w:tcW w:type="dxa" w:w="4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Literature review, algorithm comparison (LR/RF/XGBoost/AE), decision matrix scoring, technology stack evaluation, feasibility assessment</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AI Solution Research Doc</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11–14</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Phase 3: Proposal</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System architecture design, data pipeline specification, 14-week implementation timeline, risk analysis, ROI projections, ethical review</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Implementation Proposal</w:t>
            </w:r>
          </w:p>
        </w:tc>
      </w:tr>
      <w:tr>
        <w:tc>
          <w:tcPr>
            <w:tcW w:type="dxa" w:w="1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15–16</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Phase 4a: Setup</w:t>
            </w:r>
          </w:p>
        </w:tc>
        <w:tc>
          <w:tcPr>
            <w:tcW w:type="dxa" w:w="4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Environment setup, dataset download, EDA (Notebook 01), feature engineering, SMOTE, data splits (Notebook 02)</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Processed dataset artifacts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17–19</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Phase 4b: Modeling</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Model training (4 models), hyperparameter tuning, SHAP analysis, threshold optimization, results visualization (Notebook 03)</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Trained models + results</w:t>
            </w:r>
          </w:p>
        </w:tc>
      </w:tr>
      <w:tr>
        <w:tc>
          <w:tcPr>
            <w:tcW w:type="dxa" w:w="1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center"/>
            </w:pPr>
            <w:r>
              <w:rPr>
                <w:rFonts w:ascii="Arial" w:cs="Arial" w:eastAsia="Arial" w:hAnsi="Arial"/>
                <w:color w:val="333333"/>
                <w:sz w:val="20"/>
                <w:szCs w:val="20"/>
              </w:rPr>
              <w:t xml:space="preserve">20–21</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r>
              <w:rPr>
                <w:rFonts w:ascii="Arial" w:cs="Arial" w:eastAsia="Arial" w:hAnsi="Arial"/>
                <w:b/>
                <w:bCs/>
                <w:color w:val="0D1B2A"/>
                <w:sz w:val="20"/>
                <w:szCs w:val="20"/>
              </w:rPr>
              <w:t xml:space="preserve">Phase 4c: Demo</w:t>
            </w:r>
          </w:p>
        </w:tc>
        <w:tc>
          <w:tcPr>
            <w:tcW w:type="dxa" w:w="436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Streamlit app development, batch analysis, performance dashboard, business impact calculator</w:t>
            </w:r>
          </w:p>
        </w:tc>
        <w:tc>
          <w:tcPr>
            <w:tcW w:type="dxa" w:w="2000"/>
            <w:tcBorders>
              <w:top w:val="single" w:color="CCCCCC" w:sz="4"/>
              <w:left w:val="single" w:color="CCCCCC" w:sz="4"/>
              <w:bottom w:val="single" w:color="CCCCCC" w:sz="4"/>
              <w:right w:val="single" w:color="CCCCCC" w:sz="4"/>
            </w:tcBorders>
            <w:shd w:fill="E3F2FD" w:val="clear"/>
            <w:tcMar>
              <w:top w:type="dxa" w:w="80"/>
              <w:left w:type="dxa" w:w="120"/>
              <w:bottom w:type="dxa" w:w="80"/>
              <w:right w:type="dxa" w:w="120"/>
            </w:tcMar>
          </w:tcPr>
          <w:p>
            <w:pPr>
              <w:jc w:val="left"/>
            </w:pPr>
            <w:r>
              <w:rPr>
                <w:rFonts w:ascii="Arial" w:cs="Arial" w:eastAsia="Arial" w:hAnsi="Arial"/>
                <w:color w:val="333333"/>
                <w:sz w:val="20"/>
                <w:szCs w:val="20"/>
              </w:rPr>
              <w:t xml:space="preserve">Live demo application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center"/>
            </w:pPr>
            <w:r>
              <w:rPr>
                <w:rFonts w:ascii="Arial" w:cs="Arial" w:eastAsia="Arial" w:hAnsi="Arial"/>
                <w:color w:val="333333"/>
                <w:sz w:val="20"/>
                <w:szCs w:val="20"/>
              </w:rPr>
              <w:t xml:space="preserve">22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0D1B2A"/>
                <w:sz w:val="20"/>
                <w:szCs w:val="20"/>
              </w:rPr>
              <w:t xml:space="preserve">Phase 5: Delivery</w:t>
            </w:r>
          </w:p>
        </w:tc>
        <w:tc>
          <w:tcPr>
            <w:tcW w:type="dxa" w:w="4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Final presentation polish, GitHub repository completion, README, internship diary review, submission</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left"/>
            </w:pPr>
            <w:r>
              <w:rPr>
                <w:rFonts w:ascii="Arial" w:cs="Arial" w:eastAsia="Arial" w:hAnsi="Arial"/>
                <w:color w:val="333333"/>
                <w:sz w:val="20"/>
                <w:szCs w:val="20"/>
              </w:rPr>
              <w:t xml:space="preserve">GitHub repo + Presentation</w:t>
            </w:r>
          </w:p>
        </w:tc>
      </w:tr>
    </w:tbl>
    <w:p>
      <w:pPr>
        <w:spacing w:before="0" w:after="120"/>
      </w:pPr>
      <w:r>
        <w:t xml:space="preserve"/>
      </w:r>
    </w:p>
    <w:p>
      <w:r>
        <w:br w:type="page"/>
      </w:r>
    </w:p>
    <w:p>
      <w:pPr>
        <w:pStyle w:val="Heading1"/>
        <w:pBdr>
          <w:bottom w:val="single" w:color="1565C0" w:sz="8" w:space="4"/>
        </w:pBdr>
        <w:spacing w:before="360" w:after="160"/>
      </w:pPr>
      <w:r>
        <w:rPr>
          <w:rFonts w:ascii="Arial" w:cs="Arial" w:eastAsia="Arial" w:hAnsi="Arial"/>
          <w:b/>
          <w:bCs/>
          <w:color w:val="0D1B2A"/>
          <w:sz w:val="36"/>
          <w:szCs w:val="36"/>
        </w:rPr>
        <w:t xml:space="preserve">9. Conclusion &amp; Recommendations</w:t>
      </w:r>
    </w:p>
    <w:p>
      <w:pPr>
        <w:spacing w:before="80" w:after="160"/>
        <w:jc w:val="both"/>
      </w:pPr>
      <w:r>
        <w:rPr>
          <w:rFonts w:ascii="Arial" w:cs="Arial" w:eastAsia="Arial" w:hAnsi="Arial"/>
          <w:color w:val="333333"/>
          <w:sz w:val="22"/>
          <w:szCs w:val="22"/>
        </w:rPr>
        <w:t xml:space="preserve">This case study analysis establishes a comprehensive foundation for the AI-powered fraud detection solution. The analysis confirms three core conclusions:</w:t>
      </w:r>
    </w:p>
    <w:p>
      <w:pPr>
        <w:pStyle w:val="ListParagraph"/>
        <w:numPr>
          <w:ilvl w:val="0"/>
          <w:numId w:val="3"/>
        </w:numPr>
        <w:spacing w:before="80" w:after="80"/>
      </w:pPr>
      <w:r>
        <w:rPr>
          <w:rFonts w:ascii="Arial" w:cs="Arial" w:eastAsia="Arial" w:hAnsi="Arial"/>
          <w:color w:val="333333"/>
          <w:sz w:val="22"/>
          <w:szCs w:val="22"/>
        </w:rPr>
        <w:t xml:space="preserve">The Business Need is Compelling: Global fraud losses of $32.34B annually, with demonstrated 30-70% reduction achievable through ML (JPMorgan Chase, Visa case studies), provide a clear and substantial business justification for investment.</w:t>
      </w:r>
    </w:p>
    <w:p>
      <w:pPr>
        <w:pStyle w:val="ListParagraph"/>
        <w:numPr>
          <w:ilvl w:val="0"/>
          <w:numId w:val="3"/>
        </w:numPr>
        <w:spacing w:before="80" w:after="80"/>
      </w:pPr>
      <w:r>
        <w:rPr>
          <w:rFonts w:ascii="Arial" w:cs="Arial" w:eastAsia="Arial" w:hAnsi="Arial"/>
          <w:color w:val="333333"/>
          <w:sz w:val="22"/>
          <w:szCs w:val="22"/>
        </w:rPr>
        <w:t xml:space="preserve">The Problem is Well-Defined and Solvable: The Kaggle ULB dataset provides a high-quality, real-world benchmark. The technical challenges — class imbalance (SMOTE), latency constraints (XGBoost CPU inference), explainability (SHAP) — all have proven solutions documented in the academic literature.</w:t>
      </w:r>
    </w:p>
    <w:p>
      <w:pPr>
        <w:pStyle w:val="ListParagraph"/>
        <w:numPr>
          <w:ilvl w:val="0"/>
          <w:numId w:val="3"/>
        </w:numPr>
        <w:spacing w:before="80" w:after="80"/>
      </w:pPr>
      <w:r>
        <w:rPr>
          <w:rFonts w:ascii="Arial" w:cs="Arial" w:eastAsia="Arial" w:hAnsi="Arial"/>
          <w:color w:val="333333"/>
          <w:sz w:val="22"/>
          <w:szCs w:val="22"/>
        </w:rPr>
        <w:t xml:space="preserve">The Solution Architecture is Validated: Industry leaders including Visa, PayPal, JPMorgan Chase, and Stripe all use gradient boosted tree approaches similar to our XGBoost solution, providing production-scale validation that this approach works at enterprise scale.</w:t>
      </w:r>
    </w:p>
    <w:p>
      <w:pPr>
        <w:pStyle w:val="Heading2"/>
        <w:spacing w:before="280" w:after="120"/>
      </w:pPr>
      <w:r>
        <w:rPr>
          <w:rFonts w:ascii="Arial" w:cs="Arial" w:eastAsia="Arial" w:hAnsi="Arial"/>
          <w:b/>
          <w:bCs/>
          <w:color w:val="1565C0"/>
          <w:sz w:val="28"/>
          <w:szCs w:val="28"/>
        </w:rPr>
        <w:t xml:space="preserve">9.1 Recommendations</w:t>
      </w:r>
    </w:p>
    <w:p>
      <w:pPr>
        <w:pStyle w:val="ListParagraph"/>
        <w:numPr>
          <w:ilvl w:val="0"/>
          <w:numId w:val="2"/>
        </w:numPr>
        <w:spacing w:before="60" w:after="60"/>
      </w:pPr>
      <w:r>
        <w:rPr>
          <w:rFonts w:ascii="Arial" w:cs="Arial" w:eastAsia="Arial" w:hAnsi="Arial"/>
          <w:color w:val="333333"/>
          <w:sz w:val="22"/>
          <w:szCs w:val="22"/>
        </w:rPr>
        <w:t xml:space="preserve">Proceed with XGBoost implementation as the primary model, with Logistic Regression retained as an explainable fallback for regulatory review cases</w:t>
      </w:r>
    </w:p>
    <w:p>
      <w:pPr>
        <w:pStyle w:val="ListParagraph"/>
        <w:numPr>
          <w:ilvl w:val="0"/>
          <w:numId w:val="2"/>
        </w:numPr>
        <w:spacing w:before="60" w:after="60"/>
      </w:pPr>
      <w:r>
        <w:rPr>
          <w:rFonts w:ascii="Arial" w:cs="Arial" w:eastAsia="Arial" w:hAnsi="Arial"/>
          <w:color w:val="333333"/>
          <w:sz w:val="22"/>
          <w:szCs w:val="22"/>
        </w:rPr>
        <w:t xml:space="preserve">Implement SMOTE with sampling_strategy=0.1 — not full balance to 50/50 — to avoid excessive synthetic sample generation that may degrade out-of-distribution performance</w:t>
      </w:r>
    </w:p>
    <w:p>
      <w:pPr>
        <w:pStyle w:val="ListParagraph"/>
        <w:numPr>
          <w:ilvl w:val="0"/>
          <w:numId w:val="2"/>
        </w:numPr>
        <w:spacing w:before="60" w:after="60"/>
      </w:pPr>
      <w:r>
        <w:rPr>
          <w:rFonts w:ascii="Arial" w:cs="Arial" w:eastAsia="Arial" w:hAnsi="Arial"/>
          <w:color w:val="333333"/>
          <w:sz w:val="22"/>
          <w:szCs w:val="22"/>
        </w:rPr>
        <w:t xml:space="preserve">Deploy SHAP TreeExplainer for all production predictions to satisfy GDPR Article 22 compliance requirements</w:t>
      </w:r>
    </w:p>
    <w:p>
      <w:pPr>
        <w:pStyle w:val="ListParagraph"/>
        <w:numPr>
          <w:ilvl w:val="0"/>
          <w:numId w:val="2"/>
        </w:numPr>
        <w:spacing w:before="60" w:after="60"/>
      </w:pPr>
      <w:r>
        <w:rPr>
          <w:rFonts w:ascii="Arial" w:cs="Arial" w:eastAsia="Arial" w:hAnsi="Arial"/>
          <w:color w:val="333333"/>
          <w:sz w:val="22"/>
          <w:szCs w:val="22"/>
        </w:rPr>
        <w:t xml:space="preserve">Establish a human review queue for transactions scoring 0.30–0.70 fraud probability rather than binary auto-approve/decline decisions</w:t>
      </w:r>
    </w:p>
    <w:p>
      <w:pPr>
        <w:pStyle w:val="ListParagraph"/>
        <w:numPr>
          <w:ilvl w:val="0"/>
          <w:numId w:val="2"/>
        </w:numPr>
        <w:spacing w:before="60" w:after="60"/>
      </w:pPr>
      <w:r>
        <w:rPr>
          <w:rFonts w:ascii="Arial" w:cs="Arial" w:eastAsia="Arial" w:hAnsi="Arial"/>
          <w:color w:val="333333"/>
          <w:sz w:val="22"/>
          <w:szCs w:val="22"/>
        </w:rPr>
        <w:t xml:space="preserve">Plan for monthly model retraining from day one of deployment — concept drift is well-documented and predictable</w:t>
      </w:r>
    </w:p>
    <w:p>
      <w:pPr>
        <w:pStyle w:val="ListParagraph"/>
        <w:numPr>
          <w:ilvl w:val="0"/>
          <w:numId w:val="2"/>
        </w:numPr>
        <w:spacing w:before="60" w:after="60"/>
      </w:pPr>
      <w:r>
        <w:rPr>
          <w:rFonts w:ascii="Arial" w:cs="Arial" w:eastAsia="Arial" w:hAnsi="Arial"/>
          <w:color w:val="333333"/>
          <w:sz w:val="22"/>
          <w:szCs w:val="22"/>
        </w:rPr>
        <w:t xml:space="preserve">Conduct quarterly fairness audits measuring false positive rates by merchant category and transaction geography</w:t>
      </w:r>
    </w:p>
    <w:p>
      <w:pPr>
        <w:spacing w:before="0" w:after="120"/>
      </w:pPr>
      <w:r>
        <w:t xml:space="preserve"/>
      </w:r>
    </w:p>
    <w:p>
      <w:pPr>
        <w:jc w:val="center"/>
      </w:pPr>
      <w:r>
        <w:rPr>
          <w:rFonts w:ascii="Arial" w:cs="Arial" w:eastAsia="Arial" w:hAnsi="Arial"/>
          <w:b/>
          <w:bCs/>
          <w:i/>
          <w:iCs/>
          <w:color w:val="1565C0"/>
          <w:sz w:val="22"/>
          <w:szCs w:val="22"/>
        </w:rPr>
        <w:t xml:space="preserve">— End of Case Study Analysis Report —</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565C0" w:sz="4"/>
      </w:pBdr>
      <w:spacing w:before="120"/>
    </w:pPr>
    <w:r>
      <w:rPr>
        <w:rFonts w:ascii="Arial" w:cs="Arial" w:eastAsia="Arial" w:hAnsi="Arial"/>
        <w:color w:val="888888"/>
        <w:sz w:val="18"/>
        <w:szCs w:val="18"/>
      </w:rPr>
      <w:t xml:space="preserve">Confidential  |  Case Study Analysis  |  AI/ML Internship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565C0" w:sz="4"/>
      </w:pBdr>
      <w:spacing w:after="120"/>
    </w:pPr>
    <w:r>
      <w:rPr>
        <w:rFonts w:ascii="Arial" w:cs="Arial" w:eastAsia="Arial" w:hAnsi="Arial"/>
        <w:color w:val="888888"/>
        <w:sz w:val="18"/>
        <w:szCs w:val="18"/>
      </w:rPr>
      <w:t xml:space="preserve">Case Study Analysis Report  |  Credit Card Fraud Detection  |  AI/ML Internship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D1B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565C0"/>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976D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2026-03-04T07:20:19.816Z</dcterms:created>
  <dcterms:modified xsi:type="dcterms:W3CDTF">2026-03-04T07:20:19.817Z</dcterms:modified>
</cp:coreProperties>
</file>

<file path=docProps/custom.xml><?xml version="1.0" encoding="utf-8"?>
<Properties xmlns="http://schemas.openxmlformats.org/officeDocument/2006/custom-properties" xmlns:vt="http://schemas.openxmlformats.org/officeDocument/2006/docPropsVTypes"/>
</file>