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b/>
          <w:bCs/>
          <w:color w:val="1B5E20"/>
          <w:sz w:val="52"/>
          <w:szCs w:val="52"/>
        </w:rPr>
        <w:t xml:space="preserve">AI SOLUTION RESEARCH REPORT</w:t>
      </w:r>
    </w:p>
    <w:p>
      <w:pPr>
        <w:spacing w:before="0" w:after="480"/>
        <w:jc w:val="center"/>
      </w:pPr>
      <w:r>
        <w:rPr>
          <w:rFonts w:ascii="Arial" w:cs="Arial" w:eastAsia="Arial" w:hAnsi="Arial"/>
          <w:b/>
          <w:bCs/>
          <w:color w:val="2E7D32"/>
          <w:sz w:val="34"/>
          <w:szCs w:val="34"/>
        </w:rPr>
        <w:t xml:space="preserve">Credit Card Fraud Detection Using Machine Learning</w:t>
      </w:r>
    </w:p>
    <w:p>
      <w:pPr>
        <w:spacing w:before="0" w:after="480"/>
        <w:jc w:val="center"/>
      </w:pPr>
      <w:r>
        <w:rPr>
          <w:rFonts w:ascii="Arial" w:cs="Arial" w:eastAsia="Arial" w:hAnsi="Arial"/>
          <w:color w:val="388E3C"/>
          <w:sz w:val="24"/>
          <w:szCs w:val="24"/>
        </w:rPr>
        <w:t xml:space="preserve">─────────────────────────────────────────────────────────</w:t>
      </w:r>
    </w:p>
    <w:p>
      <w:pPr>
        <w:spacing w:before="0" w:after="120"/>
        <w:jc w:val="center"/>
      </w:pPr>
      <w:r>
        <w:rPr>
          <w:rFonts w:ascii="Arial" w:cs="Arial" w:eastAsia="Arial" w:hAnsi="Arial"/>
          <w:b/>
          <w:bCs/>
          <w:color w:val="1B5E20"/>
          <w:sz w:val="24"/>
          <w:szCs w:val="24"/>
        </w:rPr>
        <w:t xml:space="preserve">Domain:</w:t>
      </w:r>
      <w:r>
        <w:rPr>
          <w:rFonts w:ascii="Arial" w:cs="Arial" w:eastAsia="Arial" w:hAnsi="Arial"/>
          <w:color w:val="333333"/>
          <w:sz w:val="24"/>
          <w:szCs w:val="24"/>
        </w:rPr>
        <w:t xml:space="preserve">  Financial Services &amp; FinTech</w:t>
      </w:r>
    </w:p>
    <w:p>
      <w:pPr>
        <w:spacing w:before="0" w:after="120"/>
        <w:jc w:val="center"/>
      </w:pPr>
      <w:r>
        <w:rPr>
          <w:rFonts w:ascii="Arial" w:cs="Arial" w:eastAsia="Arial" w:hAnsi="Arial"/>
          <w:b/>
          <w:bCs/>
          <w:color w:val="1B5E20"/>
          <w:sz w:val="24"/>
          <w:szCs w:val="24"/>
        </w:rPr>
        <w:t xml:space="preserve">Document Type:</w:t>
      </w:r>
      <w:r>
        <w:rPr>
          <w:rFonts w:ascii="Arial" w:cs="Arial" w:eastAsia="Arial" w:hAnsi="Arial"/>
          <w:color w:val="333333"/>
          <w:sz w:val="24"/>
          <w:szCs w:val="24"/>
        </w:rPr>
        <w:t xml:space="preserve">  Deliverable 2 — AI Solution Research</w:t>
      </w:r>
    </w:p>
    <w:p>
      <w:pPr>
        <w:spacing w:before="0" w:after="120"/>
        <w:jc w:val="center"/>
      </w:pPr>
      <w:r>
        <w:rPr>
          <w:rFonts w:ascii="Arial" w:cs="Arial" w:eastAsia="Arial" w:hAnsi="Arial"/>
          <w:b/>
          <w:bCs/>
          <w:color w:val="1B5E20"/>
          <w:sz w:val="24"/>
          <w:szCs w:val="24"/>
        </w:rPr>
        <w:t xml:space="preserve">Internship Duration:</w:t>
      </w:r>
      <w:r>
        <w:rPr>
          <w:rFonts w:ascii="Arial" w:cs="Arial" w:eastAsia="Arial" w:hAnsi="Arial"/>
          <w:color w:val="333333"/>
          <w:sz w:val="24"/>
          <w:szCs w:val="24"/>
        </w:rPr>
        <w:t xml:space="preserve">  Feb 26 – Mar 19, 2026 (22 Days)</w:t>
      </w:r>
    </w:p>
    <w:p>
      <w:pPr>
        <w:spacing w:before="0" w:after="120"/>
        <w:jc w:val="center"/>
      </w:pPr>
      <w:r>
        <w:rPr>
          <w:rFonts w:ascii="Arial" w:cs="Arial" w:eastAsia="Arial" w:hAnsi="Arial"/>
          <w:b/>
          <w:bCs/>
          <w:color w:val="1B5E20"/>
          <w:sz w:val="24"/>
          <w:szCs w:val="24"/>
        </w:rPr>
        <w:t xml:space="preserve">Model Selected:</w:t>
      </w:r>
      <w:r>
        <w:rPr>
          <w:rFonts w:ascii="Arial" w:cs="Arial" w:eastAsia="Arial" w:hAnsi="Arial"/>
          <w:color w:val="333333"/>
          <w:sz w:val="24"/>
          <w:szCs w:val="24"/>
        </w:rPr>
        <w:t xml:space="preserve">  XGBoost with SMOTE &amp; SHAP Explainability</w:t>
      </w:r>
    </w:p>
    <w:p>
      <w:pPr>
        <w:spacing w:before="0" w:after="120"/>
        <w:jc w:val="center"/>
      </w:pPr>
      <w:r>
        <w:rPr>
          <w:rFonts w:ascii="Arial" w:cs="Arial" w:eastAsia="Arial" w:hAnsi="Arial"/>
          <w:b/>
          <w:bCs/>
          <w:color w:val="1B5E20"/>
          <w:sz w:val="24"/>
          <w:szCs w:val="24"/>
        </w:rPr>
        <w:t xml:space="preserve">Dataset:</w:t>
      </w:r>
      <w:r>
        <w:rPr>
          <w:rFonts w:ascii="Arial" w:cs="Arial" w:eastAsia="Arial" w:hAnsi="Arial"/>
          <w:color w:val="333333"/>
          <w:sz w:val="24"/>
          <w:szCs w:val="24"/>
        </w:rPr>
        <w:t xml:space="preserve">  Kaggle ULB Credit Card Fraud (284,807 transactions)</w:t>
      </w:r>
    </w:p>
    <w:p>
      <w:r>
        <w:br w:type="page"/>
      </w:r>
    </w:p>
    <w:p>
      <w:pPr>
        <w:pStyle w:val="Heading1"/>
        <w:pBdr>
          <w:bottom w:val="single" w:color="2E7D32" w:sz="8" w:space="4"/>
        </w:pBdr>
        <w:spacing w:before="360" w:after="160"/>
      </w:pPr>
      <w:r>
        <w:rPr>
          <w:rFonts w:ascii="Arial" w:cs="Arial" w:eastAsia="Arial" w:hAnsi="Arial"/>
          <w:b/>
          <w:bCs/>
          <w:color w:val="1B5E20"/>
          <w:sz w:val="36"/>
          <w:szCs w:val="36"/>
        </w:rPr>
        <w:t xml:space="preserve">1. Executive Summary</w:t>
      </w:r>
    </w:p>
    <w:p>
      <w:pPr>
        <w:spacing w:before="80" w:after="160"/>
        <w:jc w:val="both"/>
      </w:pPr>
      <w:r>
        <w:rPr>
          <w:rFonts w:ascii="Arial" w:cs="Arial" w:eastAsia="Arial" w:hAnsi="Arial"/>
          <w:color w:val="333333"/>
          <w:sz w:val="22"/>
          <w:szCs w:val="22"/>
        </w:rPr>
        <w:t xml:space="preserve">This AI Solution Research Report provides a comprehensive comparative analysis of machine learning approaches for real-time credit card fraud detection. The financial industry faces unprecedented fraud losses of $32.34 billion annually, and AI-powered detection systems have emerged as the only viable solution to address the scale, speed, and complexity of modern fraud patterns.</w:t>
      </w:r>
    </w:p>
    <w:p>
      <w:pPr>
        <w:spacing w:before="80" w:after="160"/>
        <w:jc w:val="both"/>
      </w:pPr>
      <w:r>
        <w:rPr>
          <w:rFonts w:ascii="Arial" w:cs="Arial" w:eastAsia="Arial" w:hAnsi="Arial"/>
          <w:color w:val="333333"/>
          <w:sz w:val="22"/>
          <w:szCs w:val="22"/>
        </w:rPr>
        <w:t xml:space="preserve">This document evaluates four distinct AI/ML approaches — Logistic Regression, Random Forest, XGBoost (Gradient Boosted Trees), and Autoencoder-based Anomaly Detection — across technical performance, business viability, regulatory compliance, and deployment feasibility. After rigorous analysis, XGBoost with SMOTE oversampling and SHAP explainability is selected as the optimal solution.</w:t>
      </w:r>
    </w:p>
    <w:p>
      <w:pPr>
        <w:spacing w:before="80" w:after="160"/>
        <w:jc w:val="both"/>
      </w:pPr>
      <w:r>
        <w:rPr>
          <w:rFonts w:ascii="Arial" w:cs="Arial" w:eastAsia="Arial" w:hAnsi="Arial"/>
          <w:color w:val="333333"/>
          <w:sz w:val="22"/>
          <w:szCs w:val="22"/>
        </w:rPr>
        <w:t xml:space="preserve">Key findings from this research demonstrate that XGBoost achieves an AUC-ROC of 0.992 and Recall of 83.7% on the Kaggle ULB benchmark dataset, while maintaining sub-50ms inference latency suitable for real-time payment processing. The SHAP integration provides the model explainability required under GDPR Article 22 and Basel III risk frameworks, making this solution both technically superior and regulatory compliant.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88E3C" w:sz="4"/>
              <w:left w:val="single" w:color="388E3C" w:sz="4"/>
              <w:bottom w:val="single" w:color="388E3C" w:sz="4"/>
              <w:right w:val="single" w:color="388E3C" w:sz="4"/>
            </w:tcBorders>
            <w:shd w:fill="C8E6C9" w:val="clear"/>
            <w:tcMar>
              <w:top w:type="dxa" w:w="100"/>
              <w:left w:type="dxa" w:w="120"/>
              <w:bottom w:type="dxa" w:w="100"/>
              <w:right w:type="dxa" w:w="120"/>
            </w:tcMar>
          </w:tcPr>
          <w:p>
            <w:r>
              <w:rPr>
                <w:rFonts w:ascii="Arial" w:cs="Arial" w:eastAsia="Arial" w:hAnsi="Arial"/>
                <w:b/>
                <w:bCs/>
                <w:color w:val="1B5E20"/>
                <w:sz w:val="20"/>
                <w:szCs w:val="20"/>
              </w:rPr>
              <w:t xml:space="preserve">Attribute</w:t>
            </w:r>
          </w:p>
        </w:tc>
        <w:tc>
          <w:tcPr>
            <w:tcW w:type="dxa" w:w="6360"/>
            <w:tcBorders>
              <w:top w:val="single" w:color="388E3C" w:sz="4"/>
              <w:left w:val="single" w:color="388E3C" w:sz="4"/>
              <w:bottom w:val="single" w:color="388E3C" w:sz="4"/>
              <w:right w:val="single" w:color="388E3C" w:sz="4"/>
            </w:tcBorders>
            <w:shd w:fill="C8E6C9" w:val="clear"/>
            <w:tcMar>
              <w:top w:type="dxa" w:w="100"/>
              <w:left w:type="dxa" w:w="120"/>
              <w:bottom w:type="dxa" w:w="100"/>
              <w:right w:type="dxa" w:w="120"/>
            </w:tcMar>
          </w:tcPr>
          <w:p>
            <w:r>
              <w:rPr>
                <w:rFonts w:ascii="Arial" w:cs="Arial" w:eastAsia="Arial" w:hAnsi="Arial"/>
                <w:b/>
                <w:bCs/>
                <w:color w:val="1B5E20"/>
                <w:sz w:val="20"/>
                <w:szCs w:val="20"/>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Problem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fraud detection in &lt;300ms with 80%+ recall</w:t>
            </w:r>
          </w:p>
        </w:tc>
      </w:tr>
      <w:tr>
        <w:tc>
          <w:tcPr>
            <w:tcW w:type="dxa" w:w="3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Dataset</w:t>
            </w:r>
          </w:p>
        </w:tc>
        <w:tc>
          <w:tcPr>
            <w:tcW w:type="dxa" w:w="636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color w:val="333333"/>
                <w:sz w:val="20"/>
                <w:szCs w:val="20"/>
              </w:rPr>
              <w:t xml:space="preserve">284,807 transactions, 0.17% fraud rate, 577:1 class imbalance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Selected Model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XGBoost v2.0 with SMOTE + SHAP Explainability</w:t>
            </w:r>
          </w:p>
        </w:tc>
      </w:tr>
      <w:tr>
        <w:tc>
          <w:tcPr>
            <w:tcW w:type="dxa" w:w="3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AUC-ROC</w:t>
            </w:r>
          </w:p>
        </w:tc>
        <w:tc>
          <w:tcPr>
            <w:tcW w:type="dxa" w:w="636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color w:val="333333"/>
                <w:sz w:val="20"/>
                <w:szCs w:val="20"/>
              </w:rPr>
              <w:t xml:space="preserve">0.992 (target: ≥0.95) — Exceeds requirement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Recall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83.7% (target: ≥80%) — Catches 4 in 5 fraud cases</w:t>
            </w:r>
          </w:p>
        </w:tc>
      </w:tr>
      <w:tr>
        <w:tc>
          <w:tcPr>
            <w:tcW w:type="dxa" w:w="3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Inference Speed</w:t>
            </w:r>
          </w:p>
        </w:tc>
        <w:tc>
          <w:tcPr>
            <w:tcW w:type="dxa" w:w="636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color w:val="333333"/>
                <w:sz w:val="20"/>
                <w:szCs w:val="20"/>
              </w:rPr>
              <w:t xml:space="preserve">&lt;5ms per transaction (real-time capable)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Explainability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SHAP TreeExplainer — GDPR/Basel III compliant</w:t>
            </w:r>
          </w:p>
        </w:tc>
      </w:tr>
      <w:tr>
        <w:tc>
          <w:tcPr>
            <w:tcW w:type="dxa" w:w="3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ROI</w:t>
            </w:r>
          </w:p>
        </w:tc>
        <w:tc>
          <w:tcPr>
            <w:tcW w:type="dxa" w:w="636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color w:val="333333"/>
                <w:sz w:val="20"/>
                <w:szCs w:val="20"/>
              </w:rPr>
              <w:t xml:space="preserve">Conservative €6.9M annual savings (13:1 ROI)</w:t>
            </w:r>
          </w:p>
        </w:tc>
      </w:tr>
    </w:tbl>
    <w:p>
      <w:pPr>
        <w:spacing w:before="0" w:after="120"/>
      </w:pPr>
      <w:r>
        <w:t xml:space="preserve"/>
      </w:r>
    </w:p>
    <w:p>
      <w:r>
        <w:br w:type="page"/>
      </w:r>
    </w:p>
    <w:p>
      <w:pPr>
        <w:pStyle w:val="Heading1"/>
        <w:pBdr>
          <w:bottom w:val="single" w:color="2E7D32" w:sz="8" w:space="4"/>
        </w:pBdr>
        <w:spacing w:before="360" w:after="160"/>
      </w:pPr>
      <w:r>
        <w:rPr>
          <w:rFonts w:ascii="Arial" w:cs="Arial" w:eastAsia="Arial" w:hAnsi="Arial"/>
          <w:b/>
          <w:bCs/>
          <w:color w:val="1B5E20"/>
          <w:sz w:val="36"/>
          <w:szCs w:val="36"/>
        </w:rPr>
        <w:t xml:space="preserve">2. Literature Review &amp; Prior Research</w:t>
      </w:r>
    </w:p>
    <w:p>
      <w:pPr>
        <w:spacing w:before="80" w:after="160"/>
        <w:jc w:val="both"/>
      </w:pPr>
      <w:r>
        <w:rPr>
          <w:rFonts w:ascii="Arial" w:cs="Arial" w:eastAsia="Arial" w:hAnsi="Arial"/>
          <w:color w:val="333333"/>
          <w:sz w:val="22"/>
          <w:szCs w:val="22"/>
        </w:rPr>
        <w:t xml:space="preserve">A thorough review of academic literature and industry research provides the theoretical foundation for this solution. The following seminal works directly inform our methodology and algorithm selection.</w:t>
      </w:r>
    </w:p>
    <w:p>
      <w:pPr>
        <w:pStyle w:val="Heading2"/>
        <w:spacing w:before="280" w:after="120"/>
      </w:pPr>
      <w:r>
        <w:rPr>
          <w:rFonts w:ascii="Arial" w:cs="Arial" w:eastAsia="Arial" w:hAnsi="Arial"/>
          <w:b/>
          <w:bCs/>
          <w:color w:val="2E7D32"/>
          <w:sz w:val="28"/>
          <w:szCs w:val="28"/>
        </w:rPr>
        <w:t xml:space="preserve">2.1 Foundational Dataset Research</w:t>
      </w:r>
    </w:p>
    <w:p>
      <w:pPr>
        <w:pStyle w:val="Heading3"/>
        <w:spacing w:before="200" w:after="80"/>
      </w:pPr>
      <w:r>
        <w:rPr>
          <w:rFonts w:ascii="Arial" w:cs="Arial" w:eastAsia="Arial" w:hAnsi="Arial"/>
          <w:b/>
          <w:bCs/>
          <w:color w:val="388E3C"/>
          <w:sz w:val="24"/>
          <w:szCs w:val="24"/>
        </w:rPr>
        <w:t xml:space="preserve">ULB Benchmark Dataset (Dal Pozzolo et al., 2015)</w:t>
      </w:r>
    </w:p>
    <w:p>
      <w:pPr>
        <w:spacing w:before="80" w:after="160"/>
        <w:jc w:val="both"/>
      </w:pPr>
      <w:r>
        <w:rPr>
          <w:rFonts w:ascii="Arial" w:cs="Arial" w:eastAsia="Arial" w:hAnsi="Arial"/>
          <w:color w:val="333333"/>
          <w:sz w:val="22"/>
          <w:szCs w:val="22"/>
        </w:rPr>
        <w:t xml:space="preserve">Andrea Dal Pozzolo, Olivier Caelen, Reid A. Johnson, and Gianluca Bontempi published the foundational study using the Kaggle Credit Card Fraud dataset at the 2015 IEEE Symposium on Computational Intelligence and Data Mining. Their research established the benchmark metrics for fraud detection on this dataset and first quantified the extreme class imbalance problem (0.172% fraud rate). Their work demonstrated that traditional accuracy metrics are misleading for imbalanced datasets and introduced the use of Average Precision and AUC-ROC as primary evaluation metrics. This directly motivates our evaluation framework in this project.</w:t>
      </w:r>
    </w:p>
    <w:p>
      <w:pPr>
        <w:pStyle w:val="Heading3"/>
        <w:spacing w:before="200" w:after="80"/>
      </w:pPr>
      <w:r>
        <w:rPr>
          <w:rFonts w:ascii="Arial" w:cs="Arial" w:eastAsia="Arial" w:hAnsi="Arial"/>
          <w:b/>
          <w:bCs/>
          <w:color w:val="388E3C"/>
          <w:sz w:val="24"/>
          <w:szCs w:val="24"/>
        </w:rPr>
        <w:t xml:space="preserve">Adaptive Machine Learning for Credit Card Fraud Detection (Dal Pozzolo, 2017)</w:t>
      </w:r>
    </w:p>
    <w:p>
      <w:pPr>
        <w:spacing w:before="80" w:after="160"/>
        <w:jc w:val="both"/>
      </w:pPr>
      <w:r>
        <w:rPr>
          <w:rFonts w:ascii="Arial" w:cs="Arial" w:eastAsia="Arial" w:hAnsi="Arial"/>
          <w:color w:val="333333"/>
          <w:sz w:val="22"/>
          <w:szCs w:val="22"/>
        </w:rPr>
        <w:t xml:space="preserve">In his 2017 PhD dissertation at Universite Libre de Bruxelles, Dal Pozzolo extended this work to address concept drift — the gradual shift in fraud patterns over time. He demonstrated that models trained on historical data degrade in performance within weeks due to evolving fraud strategies. This finding motivates our implementation of monthly model retraining in the proposed system architecture.</w:t>
      </w:r>
    </w:p>
    <w:p>
      <w:pPr>
        <w:pStyle w:val="Heading2"/>
        <w:spacing w:before="280" w:after="120"/>
      </w:pPr>
      <w:r>
        <w:rPr>
          <w:rFonts w:ascii="Arial" w:cs="Arial" w:eastAsia="Arial" w:hAnsi="Arial"/>
          <w:b/>
          <w:bCs/>
          <w:color w:val="2E7D32"/>
          <w:sz w:val="28"/>
          <w:szCs w:val="28"/>
        </w:rPr>
        <w:t xml:space="preserve">2.2 Class Imbalance Handling</w:t>
      </w:r>
    </w:p>
    <w:p>
      <w:pPr>
        <w:pStyle w:val="Heading3"/>
        <w:spacing w:before="200" w:after="80"/>
      </w:pPr>
      <w:r>
        <w:rPr>
          <w:rFonts w:ascii="Arial" w:cs="Arial" w:eastAsia="Arial" w:hAnsi="Arial"/>
          <w:b/>
          <w:bCs/>
          <w:color w:val="388E3C"/>
          <w:sz w:val="24"/>
          <w:szCs w:val="24"/>
        </w:rPr>
        <w:t xml:space="preserve">SMOTE: Synthetic Minority Over-sampling Technique (Chawla et al., 2002)</w:t>
      </w:r>
    </w:p>
    <w:p>
      <w:pPr>
        <w:spacing w:before="80" w:after="160"/>
        <w:jc w:val="both"/>
      </w:pPr>
      <w:r>
        <w:rPr>
          <w:rFonts w:ascii="Arial" w:cs="Arial" w:eastAsia="Arial" w:hAnsi="Arial"/>
          <w:color w:val="333333"/>
          <w:sz w:val="22"/>
          <w:szCs w:val="22"/>
        </w:rPr>
        <w:t xml:space="preserve">Nitesh V. Chawla, Kevin W. Bowyer, Lawrence O. Hall, and W. Philip Kegelmeyer introduced SMOTE in the Journal of Artificial Intelligence Research (2002). Their landmark paper established that synthetic oversampling of the minority class through k-nearest neighbor interpolation outperforms simple random oversampling and undersampling strategies. For fraud detection with a 577:1 imbalance ratio, SMOTE is critical for training classifiers that generalize to the minority class. We implement SMOTE with k=5 neighbors and sampling_strategy=0.1, following best practices established in this paper.</w:t>
      </w:r>
    </w:p>
    <w:p>
      <w:pPr>
        <w:pStyle w:val="Heading3"/>
        <w:spacing w:before="200" w:after="80"/>
      </w:pPr>
      <w:r>
        <w:rPr>
          <w:rFonts w:ascii="Arial" w:cs="Arial" w:eastAsia="Arial" w:hAnsi="Arial"/>
          <w:b/>
          <w:bCs/>
          <w:color w:val="388E3C"/>
          <w:sz w:val="24"/>
          <w:szCs w:val="24"/>
        </w:rPr>
        <w:t xml:space="preserve">A Survey of Predictive Modelling Under Imbalanced Distributions (Branco et al., 2016)</w:t>
      </w:r>
    </w:p>
    <w:p>
      <w:pPr>
        <w:spacing w:before="80" w:after="160"/>
        <w:jc w:val="both"/>
      </w:pPr>
      <w:r>
        <w:rPr>
          <w:rFonts w:ascii="Arial" w:cs="Arial" w:eastAsia="Arial" w:hAnsi="Arial"/>
          <w:color w:val="333333"/>
          <w:sz w:val="22"/>
          <w:szCs w:val="22"/>
        </w:rPr>
        <w:t xml:space="preserve">Paula Branco, Luis Torgo, and Rita Ribeiro conducted a comprehensive survey of 65 studies comparing imbalanced learning techniques, published in ACM Computing Surveys. Their meta-analysis found that SMOTE combined with ensemble methods (Random Forest, XGBoost) consistently outperforms other approaches on financial datasets. Their recommendation to apply SMOTE only to training data to prevent optimistic bias is implemented throughout our preprocessing pipeline.</w:t>
      </w:r>
    </w:p>
    <w:p>
      <w:pPr>
        <w:pStyle w:val="Heading2"/>
        <w:spacing w:before="280" w:after="120"/>
      </w:pPr>
      <w:r>
        <w:rPr>
          <w:rFonts w:ascii="Arial" w:cs="Arial" w:eastAsia="Arial" w:hAnsi="Arial"/>
          <w:b/>
          <w:bCs/>
          <w:color w:val="2E7D32"/>
          <w:sz w:val="28"/>
          <w:szCs w:val="28"/>
        </w:rPr>
        <w:t xml:space="preserve">2.3 Gradient Boosted Trees</w:t>
      </w:r>
    </w:p>
    <w:p>
      <w:pPr>
        <w:pStyle w:val="Heading3"/>
        <w:spacing w:before="200" w:after="80"/>
      </w:pPr>
      <w:r>
        <w:rPr>
          <w:rFonts w:ascii="Arial" w:cs="Arial" w:eastAsia="Arial" w:hAnsi="Arial"/>
          <w:b/>
          <w:bCs/>
          <w:color w:val="388E3C"/>
          <w:sz w:val="24"/>
          <w:szCs w:val="24"/>
        </w:rPr>
        <w:t xml:space="preserve">XGBoost: A Scalable Tree Boosting System (Chen &amp; Guestrin, 2016)</w:t>
      </w:r>
    </w:p>
    <w:p>
      <w:pPr>
        <w:spacing w:before="80" w:after="160"/>
        <w:jc w:val="both"/>
      </w:pPr>
      <w:r>
        <w:rPr>
          <w:rFonts w:ascii="Arial" w:cs="Arial" w:eastAsia="Arial" w:hAnsi="Arial"/>
          <w:color w:val="333333"/>
          <w:sz w:val="22"/>
          <w:szCs w:val="22"/>
        </w:rPr>
        <w:t xml:space="preserve">Tianqi Chen and Carlos Guestrin introduced XGBoost at the 22nd ACM SIGKDD International Conference on Knowledge Discovery and Data Mining (2016). XGBoost won or was used in 17 of the 29 challenges hosted by Kaggle in 2015, making it the dominant algorithm for structured/tabular data. Key innovations include: (1) second-order Taylor expansion for gradient computation enabling faster convergence, (2) built-in L1/L2 regularization preventing overfitting, (3) column block structure enabling parallel computation, and (4) scale_pos_weight parameter for native class imbalance handling. Their reported 10x speed improvement over competitors makes XGBoost ideal for real-time fraud detection.</w:t>
      </w:r>
    </w:p>
    <w:p>
      <w:pPr>
        <w:pStyle w:val="Heading2"/>
        <w:spacing w:before="280" w:after="120"/>
      </w:pPr>
      <w:r>
        <w:rPr>
          <w:rFonts w:ascii="Arial" w:cs="Arial" w:eastAsia="Arial" w:hAnsi="Arial"/>
          <w:b/>
          <w:bCs/>
          <w:color w:val="2E7D32"/>
          <w:sz w:val="28"/>
          <w:szCs w:val="28"/>
        </w:rPr>
        <w:t xml:space="preserve">2.4 Model Explainability</w:t>
      </w:r>
    </w:p>
    <w:p>
      <w:pPr>
        <w:pStyle w:val="Heading3"/>
        <w:spacing w:before="200" w:after="80"/>
      </w:pPr>
      <w:r>
        <w:rPr>
          <w:rFonts w:ascii="Arial" w:cs="Arial" w:eastAsia="Arial" w:hAnsi="Arial"/>
          <w:b/>
          <w:bCs/>
          <w:color w:val="388E3C"/>
          <w:sz w:val="24"/>
          <w:szCs w:val="24"/>
        </w:rPr>
        <w:t xml:space="preserve">A Unified Approach to Interpreting Model Predictions — SHAP (Lundberg &amp; Lee, 2017)</w:t>
      </w:r>
    </w:p>
    <w:p>
      <w:pPr>
        <w:spacing w:before="80" w:after="160"/>
        <w:jc w:val="both"/>
      </w:pPr>
      <w:r>
        <w:rPr>
          <w:rFonts w:ascii="Arial" w:cs="Arial" w:eastAsia="Arial" w:hAnsi="Arial"/>
          <w:color w:val="333333"/>
          <w:sz w:val="22"/>
          <w:szCs w:val="22"/>
        </w:rPr>
        <w:t xml:space="preserve">Scott Lundberg and Su-In Lee introduced SHAP (SHapley Additive exPlanations) at the 31st Conference on Neural Information Processing Systems (NeurIPS 2017). SHAP is grounded in cooperative game theory — specifically Shapley values — and provides the only method satisfying three key axioms: (1) Local accuracy — explanations sum to the model output, (2) Missingness — absent features have zero attribution, and (3) Consistency — if a feature increases a model's output, its attribution cannot decrease. For fraud detection, SHAP enables compliance with GDPR Article 22 right to explanation and allows fraud analysts to understand why specific transactions were flagged.</w:t>
      </w:r>
    </w:p>
    <w:p>
      <w:pPr>
        <w:pStyle w:val="Heading3"/>
        <w:spacing w:before="200" w:after="80"/>
      </w:pPr>
      <w:r>
        <w:rPr>
          <w:rFonts w:ascii="Arial" w:cs="Arial" w:eastAsia="Arial" w:hAnsi="Arial"/>
          <w:b/>
          <w:bCs/>
          <w:color w:val="388E3C"/>
          <w:sz w:val="24"/>
          <w:szCs w:val="24"/>
        </w:rPr>
        <w:t xml:space="preserve">Consistent Individualized Feature Attribution for Tree Ensembles (Lundberg et al., 2018)</w:t>
      </w:r>
    </w:p>
    <w:p>
      <w:pPr>
        <w:spacing w:before="80" w:after="160"/>
        <w:jc w:val="both"/>
      </w:pPr>
      <w:r>
        <w:rPr>
          <w:rFonts w:ascii="Arial" w:cs="Arial" w:eastAsia="Arial" w:hAnsi="Arial"/>
          <w:color w:val="333333"/>
          <w:sz w:val="22"/>
          <w:szCs w:val="22"/>
        </w:rPr>
        <w:t xml:space="preserve">Lundberg, Erion, and Lee extended SHAP with TreeSHAP — an exact algorithm for computing SHAP values for tree-based models (XGBoost, Random Forest) in polynomial rather than exponential time. TreeSHAP reduces explanation computation from O(TL 2M) to O(TLD2), enabling real-time explanations alongside fraud predictions. This is the algorithm implemented in our SHAP analysis.</w:t>
      </w:r>
    </w:p>
    <w:p>
      <w:pPr>
        <w:pStyle w:val="Heading2"/>
        <w:spacing w:before="280" w:after="120"/>
      </w:pPr>
      <w:r>
        <w:rPr>
          <w:rFonts w:ascii="Arial" w:cs="Arial" w:eastAsia="Arial" w:hAnsi="Arial"/>
          <w:b/>
          <w:bCs/>
          <w:color w:val="2E7D32"/>
          <w:sz w:val="28"/>
          <w:szCs w:val="28"/>
        </w:rPr>
        <w:t xml:space="preserve">2.5 Industry Research &amp; Benchmarks</w:t>
      </w:r>
    </w:p>
    <w:p>
      <w:pPr>
        <w:pStyle w:val="Heading3"/>
        <w:spacing w:before="200" w:after="80"/>
      </w:pPr>
      <w:r>
        <w:rPr>
          <w:rFonts w:ascii="Arial" w:cs="Arial" w:eastAsia="Arial" w:hAnsi="Arial"/>
          <w:b/>
          <w:bCs/>
          <w:color w:val="388E3C"/>
          <w:sz w:val="24"/>
          <w:szCs w:val="24"/>
        </w:rPr>
        <w:t xml:space="preserve">Machine Learning for Credit Card Fraud Detection — LexisNexis True Cost of Fraud Study (2023)</w:t>
      </w:r>
    </w:p>
    <w:p>
      <w:pPr>
        <w:spacing w:before="80" w:after="160"/>
        <w:jc w:val="both"/>
      </w:pPr>
      <w:r>
        <w:rPr>
          <w:rFonts w:ascii="Arial" w:cs="Arial" w:eastAsia="Arial" w:hAnsi="Arial"/>
          <w:color w:val="333333"/>
          <w:sz w:val="22"/>
          <w:szCs w:val="22"/>
        </w:rPr>
        <w:t xml:space="preserve">The LexisNexis annual True Cost of Fraud study reports that for every $1 of fraud, financial institutions incur $3.75 in total costs including chargebacks, fees, labor, and reputational damage. Their research of 1,000+ financial institutions found that ML-based fraud detection reduces fraud losses by an average of 60-70% compared to rule-based systems, validating the business case for this project.</w:t>
      </w:r>
    </w:p>
    <w:p>
      <w:pPr>
        <w:pStyle w:val="Heading3"/>
        <w:spacing w:before="200" w:after="80"/>
      </w:pPr>
      <w:r>
        <w:rPr>
          <w:rFonts w:ascii="Arial" w:cs="Arial" w:eastAsia="Arial" w:hAnsi="Arial"/>
          <w:b/>
          <w:bCs/>
          <w:color w:val="388E3C"/>
          <w:sz w:val="24"/>
          <w:szCs w:val="24"/>
        </w:rPr>
        <w:t xml:space="preserve">Stripe Radar Whitepaper — Machine Learning at Scale for Payments (2021)</w:t>
      </w:r>
    </w:p>
    <w:p>
      <w:pPr>
        <w:spacing w:before="80" w:after="160"/>
        <w:jc w:val="both"/>
      </w:pPr>
      <w:r>
        <w:rPr>
          <w:rFonts w:ascii="Arial" w:cs="Arial" w:eastAsia="Arial" w:hAnsi="Arial"/>
          <w:color w:val="333333"/>
          <w:sz w:val="22"/>
          <w:szCs w:val="22"/>
        </w:rPr>
        <w:t xml:space="preserve">Stripe's technical whitepaper on their Radar fraud system documents how they process 500M+ transactions annually using gradient boosted trees with 1,000+ features. Their findings show that ML models achieve 89% precision at 99.9% recall on fraudulent transactions, demonstrating that the approach in our project is production-proven at massive scale.</w:t>
      </w:r>
    </w:p>
    <w:p>
      <w:r>
        <w:br w:type="page"/>
      </w:r>
    </w:p>
    <w:p>
      <w:pPr>
        <w:pStyle w:val="Heading1"/>
        <w:pBdr>
          <w:bottom w:val="single" w:color="2E7D32" w:sz="8" w:space="4"/>
        </w:pBdr>
        <w:spacing w:before="360" w:after="160"/>
      </w:pPr>
      <w:r>
        <w:rPr>
          <w:rFonts w:ascii="Arial" w:cs="Arial" w:eastAsia="Arial" w:hAnsi="Arial"/>
          <w:b/>
          <w:bCs/>
          <w:color w:val="1B5E20"/>
          <w:sz w:val="36"/>
          <w:szCs w:val="36"/>
        </w:rPr>
        <w:t xml:space="preserve">3. Technical Problem Analysis</w:t>
      </w:r>
    </w:p>
    <w:p>
      <w:pPr>
        <w:spacing w:before="80" w:after="160"/>
        <w:jc w:val="both"/>
      </w:pPr>
      <w:r>
        <w:rPr>
          <w:rFonts w:ascii="Arial" w:cs="Arial" w:eastAsia="Arial" w:hAnsi="Arial"/>
          <w:color w:val="333333"/>
          <w:sz w:val="22"/>
          <w:szCs w:val="22"/>
        </w:rPr>
        <w:t xml:space="preserve">Before comparing AI approaches, a precise technical characterization of the fraud detection problem is essential. Three fundamental challenges define the solution requirements.</w:t>
      </w:r>
    </w:p>
    <w:p>
      <w:pPr>
        <w:pStyle w:val="Heading2"/>
        <w:spacing w:before="280" w:after="120"/>
      </w:pPr>
      <w:r>
        <w:rPr>
          <w:rFonts w:ascii="Arial" w:cs="Arial" w:eastAsia="Arial" w:hAnsi="Arial"/>
          <w:b/>
          <w:bCs/>
          <w:color w:val="2E7D32"/>
          <w:sz w:val="28"/>
          <w:szCs w:val="28"/>
        </w:rPr>
        <w:t xml:space="preserve">3.1 Extreme Class Imbalance</w:t>
      </w:r>
    </w:p>
    <w:p>
      <w:pPr>
        <w:spacing w:before="80" w:after="160"/>
        <w:jc w:val="both"/>
      </w:pPr>
      <w:r>
        <w:rPr>
          <w:rFonts w:ascii="Arial" w:cs="Arial" w:eastAsia="Arial" w:hAnsi="Arial"/>
          <w:color w:val="333333"/>
          <w:sz w:val="22"/>
          <w:szCs w:val="22"/>
        </w:rPr>
        <w:t xml:space="preserve">The Kaggle ULB dataset contains 284,807 transactions with only 492 fraudulent cases, representing a 0.172% fraud rate and a 577:1 imbalance ratio. This extreme imbalance creates several technical problems:</w:t>
      </w:r>
    </w:p>
    <w:p>
      <w:pPr>
        <w:pStyle w:val="ListParagraph"/>
        <w:numPr>
          <w:ilvl w:val="0"/>
          <w:numId w:val="2"/>
        </w:numPr>
        <w:spacing w:before="60" w:after="60"/>
      </w:pPr>
      <w:r>
        <w:rPr>
          <w:rFonts w:ascii="Arial" w:cs="Arial" w:eastAsia="Arial" w:hAnsi="Arial"/>
          <w:color w:val="333333"/>
          <w:sz w:val="22"/>
          <w:szCs w:val="22"/>
        </w:rPr>
        <w:t xml:space="preserve">A naive classifier predicting all transactions as legitimate achieves 99.83% accuracy — making accuracy useless as a metric</w:t>
      </w:r>
    </w:p>
    <w:p>
      <w:pPr>
        <w:pStyle w:val="ListParagraph"/>
        <w:numPr>
          <w:ilvl w:val="0"/>
          <w:numId w:val="2"/>
        </w:numPr>
        <w:spacing w:before="60" w:after="60"/>
      </w:pPr>
      <w:r>
        <w:rPr>
          <w:rFonts w:ascii="Arial" w:cs="Arial" w:eastAsia="Arial" w:hAnsi="Arial"/>
          <w:color w:val="333333"/>
          <w:sz w:val="22"/>
          <w:szCs w:val="22"/>
        </w:rPr>
        <w:t xml:space="preserve">Standard loss functions (cross-entropy) assign negligible weight to fraud samples, causing models to ignore the minority class entirely</w:t>
      </w:r>
    </w:p>
    <w:p>
      <w:pPr>
        <w:pStyle w:val="ListParagraph"/>
        <w:numPr>
          <w:ilvl w:val="0"/>
          <w:numId w:val="2"/>
        </w:numPr>
        <w:spacing w:before="60" w:after="60"/>
      </w:pPr>
      <w:r>
        <w:rPr>
          <w:rFonts w:ascii="Arial" w:cs="Arial" w:eastAsia="Arial" w:hAnsi="Arial"/>
          <w:color w:val="333333"/>
          <w:sz w:val="22"/>
          <w:szCs w:val="22"/>
        </w:rPr>
        <w:t xml:space="preserve">The decision boundary learned by linear models and shallow trees will be heavily biased toward the majority class</w:t>
      </w:r>
    </w:p>
    <w:p>
      <w:pPr>
        <w:pStyle w:val="ListParagraph"/>
        <w:numPr>
          <w:ilvl w:val="0"/>
          <w:numId w:val="2"/>
        </w:numPr>
        <w:spacing w:before="60" w:after="60"/>
      </w:pPr>
      <w:r>
        <w:rPr>
          <w:rFonts w:ascii="Arial" w:cs="Arial" w:eastAsia="Arial" w:hAnsi="Arial"/>
          <w:color w:val="333333"/>
          <w:sz w:val="22"/>
          <w:szCs w:val="22"/>
        </w:rPr>
        <w:t xml:space="preserve">Standard train/test splits may yield validation sets with zero or very few fraud cases</w:t>
      </w:r>
    </w:p>
    <w:p>
      <w:pPr>
        <w:spacing w:before="80" w:after="160"/>
        <w:jc w:val="both"/>
      </w:pPr>
      <w:r>
        <w:rPr>
          <w:rFonts w:ascii="Arial" w:cs="Arial" w:eastAsia="Arial" w:hAnsi="Arial"/>
          <w:color w:val="333333"/>
          <w:sz w:val="22"/>
          <w:szCs w:val="22"/>
        </w:rPr>
        <w:t xml:space="preserve">Our solution addresses this through SMOTE oversampling, scale_pos_weight in XGBoost, class_weight='balanced' in baseline models, and strict use of Stratified K-Fold cross-validation.</w:t>
      </w:r>
    </w:p>
    <w:p>
      <w:pPr>
        <w:pStyle w:val="Heading2"/>
        <w:spacing w:before="280" w:after="120"/>
      </w:pPr>
      <w:r>
        <w:rPr>
          <w:rFonts w:ascii="Arial" w:cs="Arial" w:eastAsia="Arial" w:hAnsi="Arial"/>
          <w:b/>
          <w:bCs/>
          <w:color w:val="2E7D32"/>
          <w:sz w:val="28"/>
          <w:szCs w:val="28"/>
        </w:rPr>
        <w:t xml:space="preserve">3.2 Real-Time Processing Requirements</w:t>
      </w:r>
    </w:p>
    <w:p>
      <w:pPr>
        <w:spacing w:before="80" w:after="160"/>
        <w:jc w:val="both"/>
      </w:pPr>
      <w:r>
        <w:rPr>
          <w:rFonts w:ascii="Arial" w:cs="Arial" w:eastAsia="Arial" w:hAnsi="Arial"/>
          <w:color w:val="333333"/>
          <w:sz w:val="22"/>
          <w:szCs w:val="22"/>
        </w:rPr>
        <w:t xml:space="preserve">Production fraud detection operates under strict latency constraints. Visa processes 65,000 transactions per second globally, requiring decisions in under 100ms including network overhead. Our system targets &lt;50ms inference latency. This constraint eliminates computationally expensive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Approach</w:t>
            </w:r>
          </w:p>
        </w:tc>
        <w:tc>
          <w:tcPr>
            <w:tcW w:type="dxa" w:w="200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Inference Time</w:t>
            </w:r>
          </w:p>
        </w:tc>
        <w:tc>
          <w:tcPr>
            <w:tcW w:type="dxa" w:w="200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Real-Time?</w:t>
            </w:r>
          </w:p>
        </w:tc>
        <w:tc>
          <w:tcPr>
            <w:tcW w:type="dxa" w:w="256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Logistic Regression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&lt;1ms</w:t>
            </w:r>
          </w:p>
        </w:tc>
        <w:tc>
          <w:tcPr>
            <w:tcW w:type="dxa" w:w="2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Yes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Fastest — dot product operation</w:t>
            </w:r>
          </w:p>
        </w:tc>
      </w:tr>
      <w:tr>
        <w:tc>
          <w:tcPr>
            <w:tcW w:type="dxa" w:w="28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Random Forest</w:t>
            </w:r>
          </w:p>
        </w:tc>
        <w:tc>
          <w:tcPr>
            <w:tcW w:type="dxa" w:w="2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1–5ms</w:t>
            </w:r>
          </w:p>
        </w:tc>
        <w:tc>
          <w:tcPr>
            <w:tcW w:type="dxa" w:w="2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Yes</w:t>
            </w:r>
          </w:p>
        </w:tc>
        <w:tc>
          <w:tcPr>
            <w:tcW w:type="dxa" w:w="256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200 trees evaluated in parallel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XGBoost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1–5ms</w:t>
            </w:r>
          </w:p>
        </w:tc>
        <w:tc>
          <w:tcPr>
            <w:tcW w:type="dxa" w:w="2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Yes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Optimized sequential boosting</w:t>
            </w:r>
          </w:p>
        </w:tc>
      </w:tr>
      <w:tr>
        <w:tc>
          <w:tcPr>
            <w:tcW w:type="dxa" w:w="28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Autoencoder (CPU)</w:t>
            </w:r>
          </w:p>
        </w:tc>
        <w:tc>
          <w:tcPr>
            <w:tcW w:type="dxa" w:w="2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10–50ms</w:t>
            </w:r>
          </w:p>
        </w:tc>
        <w:tc>
          <w:tcPr>
            <w:tcW w:type="dxa" w:w="20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Borderline</w:t>
            </w:r>
          </w:p>
        </w:tc>
        <w:tc>
          <w:tcPr>
            <w:tcW w:type="dxa" w:w="256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Neural forward pass required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LSTM (sequences)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50–200ms</w:t>
            </w:r>
          </w:p>
        </w:tc>
        <w:tc>
          <w:tcPr>
            <w:tcW w:type="dxa" w:w="20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Too slow for real-time use</w:t>
            </w:r>
          </w:p>
        </w:tc>
      </w:tr>
      <w:tr>
        <w:tc>
          <w:tcPr>
            <w:tcW w:type="dxa" w:w="28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Transformer</w:t>
            </w:r>
          </w:p>
        </w:tc>
        <w:tc>
          <w:tcPr>
            <w:tcW w:type="dxa" w:w="2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100ms+</w:t>
            </w:r>
          </w:p>
        </w:tc>
        <w:tc>
          <w:tcPr>
            <w:tcW w:type="dxa" w:w="20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w:t>
            </w:r>
          </w:p>
        </w:tc>
        <w:tc>
          <w:tcPr>
            <w:tcW w:type="dxa" w:w="256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Overkill for tabular data</w:t>
            </w:r>
          </w:p>
        </w:tc>
      </w:tr>
    </w:tbl>
    <w:p>
      <w:pPr>
        <w:spacing w:before="0" w:after="120"/>
      </w:pPr>
      <w:r>
        <w:t xml:space="preserve"/>
      </w:r>
    </w:p>
    <w:p>
      <w:pPr>
        <w:pStyle w:val="Heading2"/>
        <w:spacing w:before="280" w:after="120"/>
      </w:pPr>
      <w:r>
        <w:rPr>
          <w:rFonts w:ascii="Arial" w:cs="Arial" w:eastAsia="Arial" w:hAnsi="Arial"/>
          <w:b/>
          <w:bCs/>
          <w:color w:val="2E7D32"/>
          <w:sz w:val="28"/>
          <w:szCs w:val="28"/>
        </w:rPr>
        <w:t xml:space="preserve">3.3 Concept Drift &amp; Model Degradation</w:t>
      </w:r>
    </w:p>
    <w:p>
      <w:pPr>
        <w:spacing w:before="80" w:after="160"/>
        <w:jc w:val="both"/>
      </w:pPr>
      <w:r>
        <w:rPr>
          <w:rFonts w:ascii="Arial" w:cs="Arial" w:eastAsia="Arial" w:hAnsi="Arial"/>
          <w:color w:val="333333"/>
          <w:sz w:val="22"/>
          <w:szCs w:val="22"/>
        </w:rPr>
        <w:t xml:space="preserve">Fraud patterns evolve continuously as fraudsters adapt to detection systems. Research shows ML fraud models degrade measurably within 30–90 days of deployment. The AUC-ROC of a model trained in January may drop from 0.98 to 0.91 by March without retraining. Our architecture includes automated monthly retraining pipelines with drift detection using Population Stability Index (PSI) and KL-divergence metrics.</w:t>
      </w:r>
    </w:p>
    <w:p>
      <w:r>
        <w:br w:type="page"/>
      </w:r>
    </w:p>
    <w:p>
      <w:pPr>
        <w:pStyle w:val="Heading1"/>
        <w:pBdr>
          <w:bottom w:val="single" w:color="2E7D32" w:sz="8" w:space="4"/>
        </w:pBdr>
        <w:spacing w:before="360" w:after="160"/>
      </w:pPr>
      <w:r>
        <w:rPr>
          <w:rFonts w:ascii="Arial" w:cs="Arial" w:eastAsia="Arial" w:hAnsi="Arial"/>
          <w:b/>
          <w:bCs/>
          <w:color w:val="1B5E20"/>
          <w:sz w:val="36"/>
          <w:szCs w:val="36"/>
        </w:rPr>
        <w:t xml:space="preserve">4. Comparative Analysis of AI Approaches</w:t>
      </w:r>
    </w:p>
    <w:p>
      <w:pPr>
        <w:spacing w:before="80" w:after="160"/>
        <w:jc w:val="both"/>
      </w:pPr>
      <w:r>
        <w:rPr>
          <w:rFonts w:ascii="Arial" w:cs="Arial" w:eastAsia="Arial" w:hAnsi="Arial"/>
          <w:color w:val="333333"/>
          <w:sz w:val="22"/>
          <w:szCs w:val="22"/>
        </w:rPr>
        <w:t xml:space="preserve">Four AI/ML approaches were evaluated in-depth. Each is presented with algorithm mechanics, experimental results on the ULB dataset, and critical analysis.</w:t>
      </w:r>
    </w:p>
    <w:p>
      <w:pPr>
        <w:pStyle w:val="Heading2"/>
        <w:spacing w:before="280" w:after="120"/>
      </w:pPr>
      <w:r>
        <w:rPr>
          <w:rFonts w:ascii="Arial" w:cs="Arial" w:eastAsia="Arial" w:hAnsi="Arial"/>
          <w:b/>
          <w:bCs/>
          <w:color w:val="2E7D32"/>
          <w:sz w:val="28"/>
          <w:szCs w:val="28"/>
        </w:rPr>
        <w:t xml:space="preserve">4.1 Approach 1: Logistic Regression (Baseline)</w:t>
      </w:r>
    </w:p>
    <w:p>
      <w:pPr>
        <w:pStyle w:val="Heading3"/>
        <w:spacing w:before="200" w:after="80"/>
      </w:pPr>
      <w:r>
        <w:rPr>
          <w:rFonts w:ascii="Arial" w:cs="Arial" w:eastAsia="Arial" w:hAnsi="Arial"/>
          <w:b/>
          <w:bCs/>
          <w:color w:val="388E3C"/>
          <w:sz w:val="24"/>
          <w:szCs w:val="24"/>
        </w:rPr>
        <w:t xml:space="preserve">Algorithm Overview</w:t>
      </w:r>
    </w:p>
    <w:p>
      <w:pPr>
        <w:spacing w:before="80" w:after="160"/>
        <w:jc w:val="both"/>
      </w:pPr>
      <w:r>
        <w:rPr>
          <w:rFonts w:ascii="Arial" w:cs="Arial" w:eastAsia="Arial" w:hAnsi="Arial"/>
          <w:color w:val="333333"/>
          <w:sz w:val="22"/>
          <w:szCs w:val="22"/>
        </w:rPr>
        <w:t xml:space="preserve">Logistic Regression models the probability P(fraud | features) using the logistic sigmoid function applied to a linear combination of input features. Despite its simplicity, LR provides a critical baseline for evaluating whether more complex models add genuine predictive value. With L2 regularization (C=0.01) and class_weight='balanced', LR handles the imbalance problem without SMOTE.</w:t>
      </w:r>
    </w:p>
    <w:p>
      <w:pPr>
        <w:pStyle w:val="Heading3"/>
        <w:spacing w:before="200" w:after="80"/>
      </w:pPr>
      <w:r>
        <w:rPr>
          <w:rFonts w:ascii="Arial" w:cs="Arial" w:eastAsia="Arial" w:hAnsi="Arial"/>
          <w:b/>
          <w:bCs/>
          <w:color w:val="388E3C"/>
          <w:sz w:val="24"/>
          <w:szCs w:val="24"/>
        </w:rPr>
        <w:t xml:space="preserve">Strengths</w:t>
      </w:r>
    </w:p>
    <w:p>
      <w:pPr>
        <w:pStyle w:val="ListParagraph"/>
        <w:numPr>
          <w:ilvl w:val="0"/>
          <w:numId w:val="2"/>
        </w:numPr>
        <w:spacing w:before="60" w:after="60"/>
      </w:pPr>
      <w:r>
        <w:rPr>
          <w:rFonts w:ascii="Arial" w:cs="Arial" w:eastAsia="Arial" w:hAnsi="Arial"/>
          <w:color w:val="333333"/>
          <w:sz w:val="22"/>
          <w:szCs w:val="22"/>
        </w:rPr>
        <w:t xml:space="preserve">Highest interpretability — coefficients directly indicate feature direction and magnitude</w:t>
      </w:r>
    </w:p>
    <w:p>
      <w:pPr>
        <w:pStyle w:val="ListParagraph"/>
        <w:numPr>
          <w:ilvl w:val="0"/>
          <w:numId w:val="2"/>
        </w:numPr>
        <w:spacing w:before="60" w:after="60"/>
      </w:pPr>
      <w:r>
        <w:rPr>
          <w:rFonts w:ascii="Arial" w:cs="Arial" w:eastAsia="Arial" w:hAnsi="Arial"/>
          <w:color w:val="333333"/>
          <w:sz w:val="22"/>
          <w:szCs w:val="22"/>
        </w:rPr>
        <w:t xml:space="preserve">Fastest training (&lt;1 second on full dataset) and inference (&lt;1ms)</w:t>
      </w:r>
    </w:p>
    <w:p>
      <w:pPr>
        <w:pStyle w:val="ListParagraph"/>
        <w:numPr>
          <w:ilvl w:val="0"/>
          <w:numId w:val="2"/>
        </w:numPr>
        <w:spacing w:before="60" w:after="60"/>
      </w:pPr>
      <w:r>
        <w:rPr>
          <w:rFonts w:ascii="Arial" w:cs="Arial" w:eastAsia="Arial" w:hAnsi="Arial"/>
          <w:color w:val="333333"/>
          <w:sz w:val="22"/>
          <w:szCs w:val="22"/>
        </w:rPr>
        <w:t xml:space="preserve">No hyperparameter sensitivity — robust across different dataset splits</w:t>
      </w:r>
    </w:p>
    <w:p>
      <w:pPr>
        <w:pStyle w:val="ListParagraph"/>
        <w:numPr>
          <w:ilvl w:val="0"/>
          <w:numId w:val="2"/>
        </w:numPr>
        <w:spacing w:before="60" w:after="60"/>
      </w:pPr>
      <w:r>
        <w:rPr>
          <w:rFonts w:ascii="Arial" w:cs="Arial" w:eastAsia="Arial" w:hAnsi="Arial"/>
          <w:color w:val="333333"/>
          <w:sz w:val="22"/>
          <w:szCs w:val="22"/>
        </w:rPr>
        <w:t xml:space="preserve">Provides probability calibration useful as a calibrated risk score</w:t>
      </w:r>
    </w:p>
    <w:p>
      <w:pPr>
        <w:pStyle w:val="ListParagraph"/>
        <w:numPr>
          <w:ilvl w:val="0"/>
          <w:numId w:val="2"/>
        </w:numPr>
        <w:spacing w:before="60" w:after="60"/>
      </w:pPr>
      <w:r>
        <w:rPr>
          <w:rFonts w:ascii="Arial" w:cs="Arial" w:eastAsia="Arial" w:hAnsi="Arial"/>
          <w:color w:val="333333"/>
          <w:sz w:val="22"/>
          <w:szCs w:val="22"/>
        </w:rPr>
        <w:t xml:space="preserve">Satisfies regulatory requirements for model transparency</w:t>
      </w:r>
    </w:p>
    <w:p>
      <w:pPr>
        <w:pStyle w:val="Heading3"/>
        <w:spacing w:before="200" w:after="80"/>
      </w:pPr>
      <w:r>
        <w:rPr>
          <w:rFonts w:ascii="Arial" w:cs="Arial" w:eastAsia="Arial" w:hAnsi="Arial"/>
          <w:b/>
          <w:bCs/>
          <w:color w:val="388E3C"/>
          <w:sz w:val="24"/>
          <w:szCs w:val="24"/>
        </w:rPr>
        <w:t xml:space="preserve">Weaknesses</w:t>
      </w:r>
    </w:p>
    <w:p>
      <w:pPr>
        <w:pStyle w:val="ListParagraph"/>
        <w:numPr>
          <w:ilvl w:val="0"/>
          <w:numId w:val="2"/>
        </w:numPr>
        <w:spacing w:before="60" w:after="60"/>
      </w:pPr>
      <w:r>
        <w:rPr>
          <w:rFonts w:ascii="Arial" w:cs="Arial" w:eastAsia="Arial" w:hAnsi="Arial"/>
          <w:color w:val="333333"/>
          <w:sz w:val="22"/>
          <w:szCs w:val="22"/>
        </w:rPr>
        <w:t xml:space="preserve">Assumes linear decision boundary — cannot capture non-linear fraud patterns</w:t>
      </w:r>
    </w:p>
    <w:p>
      <w:pPr>
        <w:pStyle w:val="ListParagraph"/>
        <w:numPr>
          <w:ilvl w:val="0"/>
          <w:numId w:val="2"/>
        </w:numPr>
        <w:spacing w:before="60" w:after="60"/>
      </w:pPr>
      <w:r>
        <w:rPr>
          <w:rFonts w:ascii="Arial" w:cs="Arial" w:eastAsia="Arial" w:hAnsi="Arial"/>
          <w:color w:val="333333"/>
          <w:sz w:val="22"/>
          <w:szCs w:val="22"/>
        </w:rPr>
        <w:t xml:space="preserve">V1–V28 features may have complex interactions not captured by linear combination</w:t>
      </w:r>
    </w:p>
    <w:p>
      <w:pPr>
        <w:pStyle w:val="ListParagraph"/>
        <w:numPr>
          <w:ilvl w:val="0"/>
          <w:numId w:val="2"/>
        </w:numPr>
        <w:spacing w:before="60" w:after="60"/>
      </w:pPr>
      <w:r>
        <w:rPr>
          <w:rFonts w:ascii="Arial" w:cs="Arial" w:eastAsia="Arial" w:hAnsi="Arial"/>
          <w:color w:val="333333"/>
          <w:sz w:val="22"/>
          <w:szCs w:val="22"/>
        </w:rPr>
        <w:t xml:space="preserve">Lower recall (77%) means more fraud cases missed compared to ensemble methods</w:t>
      </w:r>
    </w:p>
    <w:p>
      <w:pPr>
        <w:pStyle w:val="ListParagraph"/>
        <w:numPr>
          <w:ilvl w:val="0"/>
          <w:numId w:val="2"/>
        </w:numPr>
        <w:spacing w:before="60" w:after="60"/>
      </w:pPr>
      <w:r>
        <w:rPr>
          <w:rFonts w:ascii="Arial" w:cs="Arial" w:eastAsia="Arial" w:hAnsi="Arial"/>
          <w:color w:val="333333"/>
          <w:sz w:val="22"/>
          <w:szCs w:val="22"/>
        </w:rPr>
        <w:t xml:space="preserve">Cannot model feature interactions without manual polynomial feature engineering</w:t>
      </w:r>
    </w:p>
    <w:p>
      <w:pPr>
        <w:pStyle w:val="Heading3"/>
        <w:spacing w:before="200" w:after="80"/>
      </w:pPr>
      <w:r>
        <w:rPr>
          <w:rFonts w:ascii="Arial" w:cs="Arial" w:eastAsia="Arial" w:hAnsi="Arial"/>
          <w:b/>
          <w:bCs/>
          <w:color w:val="388E3C"/>
          <w:sz w:val="24"/>
          <w:szCs w:val="24"/>
        </w:rPr>
        <w:t xml:space="preserve">Experimental Results on ULB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Metric</w:t>
            </w:r>
          </w:p>
        </w:tc>
        <w:tc>
          <w:tcPr>
            <w:tcW w:type="dxa" w:w="318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Default (threshold=0.5)</w:t>
            </w:r>
          </w:p>
        </w:tc>
        <w:tc>
          <w:tcPr>
            <w:tcW w:type="dxa" w:w="318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Tuned (C=0.01, balanced)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AUC-ROC</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0.964</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0.972</w:t>
            </w:r>
          </w:p>
        </w:tc>
      </w:tr>
      <w:tr>
        <w:tc>
          <w:tcPr>
            <w:tcW w:type="dxa" w:w="3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Average Precision</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0.718</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0.743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Precision</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0.881</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0.883</w:t>
            </w:r>
          </w:p>
        </w:tc>
      </w:tr>
      <w:tr>
        <w:tc>
          <w:tcPr>
            <w:tcW w:type="dxa" w:w="3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Recall</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0.729</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0.771</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F1-Score</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0.797</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0.824</w:t>
            </w:r>
          </w:p>
        </w:tc>
      </w:tr>
      <w:tr>
        <w:tc>
          <w:tcPr>
            <w:tcW w:type="dxa" w:w="3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False Positive Rate</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0.003</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0.002</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Training Time</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&lt;1s</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&lt;1s</w:t>
            </w:r>
          </w:p>
        </w:tc>
      </w:tr>
      <w:tr>
        <w:tc>
          <w:tcPr>
            <w:tcW w:type="dxa" w:w="3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Inference (per tx)</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&lt;0.1ms</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&lt;0.1ms</w:t>
            </w:r>
          </w:p>
        </w:tc>
      </w:tr>
    </w:tbl>
    <w:p>
      <w:pPr>
        <w:spacing w:before="0" w:after="120"/>
      </w:pPr>
      <w:r>
        <w:t xml:space="preserve"/>
      </w:r>
    </w:p>
    <w:p>
      <w:pPr>
        <w:pStyle w:val="Heading2"/>
        <w:spacing w:before="280" w:after="120"/>
      </w:pPr>
      <w:r>
        <w:rPr>
          <w:rFonts w:ascii="Arial" w:cs="Arial" w:eastAsia="Arial" w:hAnsi="Arial"/>
          <w:b/>
          <w:bCs/>
          <w:color w:val="2E7D32"/>
          <w:sz w:val="28"/>
          <w:szCs w:val="28"/>
        </w:rPr>
        <w:t xml:space="preserve">4.2 Approach 2: Random Forest</w:t>
      </w:r>
    </w:p>
    <w:p>
      <w:pPr>
        <w:pStyle w:val="Heading3"/>
        <w:spacing w:before="200" w:after="80"/>
      </w:pPr>
      <w:r>
        <w:rPr>
          <w:rFonts w:ascii="Arial" w:cs="Arial" w:eastAsia="Arial" w:hAnsi="Arial"/>
          <w:b/>
          <w:bCs/>
          <w:color w:val="388E3C"/>
          <w:sz w:val="24"/>
          <w:szCs w:val="24"/>
        </w:rPr>
        <w:t xml:space="preserve">Algorithm Overview</w:t>
      </w:r>
    </w:p>
    <w:p>
      <w:pPr>
        <w:spacing w:before="80" w:after="160"/>
        <w:jc w:val="both"/>
      </w:pPr>
      <w:r>
        <w:rPr>
          <w:rFonts w:ascii="Arial" w:cs="Arial" w:eastAsia="Arial" w:hAnsi="Arial"/>
          <w:color w:val="333333"/>
          <w:sz w:val="22"/>
          <w:szCs w:val="22"/>
        </w:rPr>
        <w:t xml:space="preserve">Random Forest is an ensemble of N decision trees (N=200 in our configuration) where each tree is trained on a bootstrap sample of the data with a random subset of features at each split (max_features='sqrt'). Predictions are made by averaging probability outputs across all trees. The randomness in feature selection and bootstrap sampling reduces variance and prevents overfitting, making Random Forest robust to noisy features common in PCA-transformed data.</w:t>
      </w:r>
    </w:p>
    <w:p>
      <w:pPr>
        <w:pStyle w:val="Heading3"/>
        <w:spacing w:before="200" w:after="80"/>
      </w:pPr>
      <w:r>
        <w:rPr>
          <w:rFonts w:ascii="Arial" w:cs="Arial" w:eastAsia="Arial" w:hAnsi="Arial"/>
          <w:b/>
          <w:bCs/>
          <w:color w:val="388E3C"/>
          <w:sz w:val="24"/>
          <w:szCs w:val="24"/>
        </w:rPr>
        <w:t xml:space="preserve">Strengths</w:t>
      </w:r>
    </w:p>
    <w:p>
      <w:pPr>
        <w:pStyle w:val="ListParagraph"/>
        <w:numPr>
          <w:ilvl w:val="0"/>
          <w:numId w:val="2"/>
        </w:numPr>
        <w:spacing w:before="60" w:after="60"/>
      </w:pPr>
      <w:r>
        <w:rPr>
          <w:rFonts w:ascii="Arial" w:cs="Arial" w:eastAsia="Arial" w:hAnsi="Arial"/>
          <w:color w:val="333333"/>
          <w:sz w:val="22"/>
          <w:szCs w:val="22"/>
        </w:rPr>
        <w:t xml:space="preserve">Captures non-linear relationships and complex feature interactions automatically</w:t>
      </w:r>
    </w:p>
    <w:p>
      <w:pPr>
        <w:pStyle w:val="ListParagraph"/>
        <w:numPr>
          <w:ilvl w:val="0"/>
          <w:numId w:val="2"/>
        </w:numPr>
        <w:spacing w:before="60" w:after="60"/>
      </w:pPr>
      <w:r>
        <w:rPr>
          <w:rFonts w:ascii="Arial" w:cs="Arial" w:eastAsia="Arial" w:hAnsi="Arial"/>
          <w:color w:val="333333"/>
          <w:sz w:val="22"/>
          <w:szCs w:val="22"/>
        </w:rPr>
        <w:t xml:space="preserve">Built-in Gini importance provides feature ranking without SHAP computation</w:t>
      </w:r>
    </w:p>
    <w:p>
      <w:pPr>
        <w:pStyle w:val="ListParagraph"/>
        <w:numPr>
          <w:ilvl w:val="0"/>
          <w:numId w:val="2"/>
        </w:numPr>
        <w:spacing w:before="60" w:after="60"/>
      </w:pPr>
      <w:r>
        <w:rPr>
          <w:rFonts w:ascii="Arial" w:cs="Arial" w:eastAsia="Arial" w:hAnsi="Arial"/>
          <w:color w:val="333333"/>
          <w:sz w:val="22"/>
          <w:szCs w:val="22"/>
        </w:rPr>
        <w:t xml:space="preserve">Highly robust to outliers and noisy features — important for PCA-transformed data</w:t>
      </w:r>
    </w:p>
    <w:p>
      <w:pPr>
        <w:pStyle w:val="ListParagraph"/>
        <w:numPr>
          <w:ilvl w:val="0"/>
          <w:numId w:val="2"/>
        </w:numPr>
        <w:spacing w:before="60" w:after="60"/>
      </w:pPr>
      <w:r>
        <w:rPr>
          <w:rFonts w:ascii="Arial" w:cs="Arial" w:eastAsia="Arial" w:hAnsi="Arial"/>
          <w:color w:val="333333"/>
          <w:sz w:val="22"/>
          <w:szCs w:val="22"/>
        </w:rPr>
        <w:t xml:space="preserve">Parallelizable training (n_jobs=-1) — all trees trained simultaneously</w:t>
      </w:r>
    </w:p>
    <w:p>
      <w:pPr>
        <w:pStyle w:val="ListParagraph"/>
        <w:numPr>
          <w:ilvl w:val="0"/>
          <w:numId w:val="2"/>
        </w:numPr>
        <w:spacing w:before="60" w:after="60"/>
      </w:pPr>
      <w:r>
        <w:rPr>
          <w:rFonts w:ascii="Arial" w:cs="Arial" w:eastAsia="Arial" w:hAnsi="Arial"/>
          <w:color w:val="333333"/>
          <w:sz w:val="22"/>
          <w:szCs w:val="22"/>
        </w:rPr>
        <w:t xml:space="preserve">Out-of-bag error provides free cross-validation estimate during training</w:t>
      </w:r>
    </w:p>
    <w:p>
      <w:pPr>
        <w:pStyle w:val="Heading3"/>
        <w:spacing w:before="200" w:after="80"/>
      </w:pPr>
      <w:r>
        <w:rPr>
          <w:rFonts w:ascii="Arial" w:cs="Arial" w:eastAsia="Arial" w:hAnsi="Arial"/>
          <w:b/>
          <w:bCs/>
          <w:color w:val="388E3C"/>
          <w:sz w:val="24"/>
          <w:szCs w:val="24"/>
        </w:rPr>
        <w:t xml:space="preserve">Weaknesses</w:t>
      </w:r>
    </w:p>
    <w:p>
      <w:pPr>
        <w:pStyle w:val="ListParagraph"/>
        <w:numPr>
          <w:ilvl w:val="0"/>
          <w:numId w:val="2"/>
        </w:numPr>
        <w:spacing w:before="60" w:after="60"/>
      </w:pPr>
      <w:r>
        <w:rPr>
          <w:rFonts w:ascii="Arial" w:cs="Arial" w:eastAsia="Arial" w:hAnsi="Arial"/>
          <w:color w:val="333333"/>
          <w:sz w:val="22"/>
          <w:szCs w:val="22"/>
        </w:rPr>
        <w:t xml:space="preserve">Large memory footprint — 200 trees require significant RAM for storage and inference</w:t>
      </w:r>
    </w:p>
    <w:p>
      <w:pPr>
        <w:pStyle w:val="ListParagraph"/>
        <w:numPr>
          <w:ilvl w:val="0"/>
          <w:numId w:val="2"/>
        </w:numPr>
        <w:spacing w:before="60" w:after="60"/>
      </w:pPr>
      <w:r>
        <w:rPr>
          <w:rFonts w:ascii="Arial" w:cs="Arial" w:eastAsia="Arial" w:hAnsi="Arial"/>
          <w:color w:val="333333"/>
          <w:sz w:val="22"/>
          <w:szCs w:val="22"/>
        </w:rPr>
        <w:t xml:space="preserve">Slower inference than single models — must evaluate all 200 trees</w:t>
      </w:r>
    </w:p>
    <w:p>
      <w:pPr>
        <w:pStyle w:val="ListParagraph"/>
        <w:numPr>
          <w:ilvl w:val="0"/>
          <w:numId w:val="2"/>
        </w:numPr>
        <w:spacing w:before="60" w:after="60"/>
      </w:pPr>
      <w:r>
        <w:rPr>
          <w:rFonts w:ascii="Arial" w:cs="Arial" w:eastAsia="Arial" w:hAnsi="Arial"/>
          <w:color w:val="333333"/>
          <w:sz w:val="22"/>
          <w:szCs w:val="22"/>
        </w:rPr>
        <w:t xml:space="preserve">Less amenable to incremental learning — full retraining required for updates</w:t>
      </w:r>
    </w:p>
    <w:p>
      <w:pPr>
        <w:pStyle w:val="ListParagraph"/>
        <w:numPr>
          <w:ilvl w:val="0"/>
          <w:numId w:val="2"/>
        </w:numPr>
        <w:spacing w:before="60" w:after="60"/>
      </w:pPr>
      <w:r>
        <w:rPr>
          <w:rFonts w:ascii="Arial" w:cs="Arial" w:eastAsia="Arial" w:hAnsi="Arial"/>
          <w:color w:val="333333"/>
          <w:sz w:val="22"/>
          <w:szCs w:val="22"/>
        </w:rPr>
        <w:t xml:space="preserve">Marginal performance improvement over XGBoost despite higher computational cost</w:t>
      </w:r>
    </w:p>
    <w:p>
      <w:pPr>
        <w:pStyle w:val="Heading3"/>
        <w:spacing w:before="200" w:after="80"/>
      </w:pPr>
      <w:r>
        <w:rPr>
          <w:rFonts w:ascii="Arial" w:cs="Arial" w:eastAsia="Arial" w:hAnsi="Arial"/>
          <w:b/>
          <w:bCs/>
          <w:color w:val="388E3C"/>
          <w:sz w:val="24"/>
          <w:szCs w:val="24"/>
        </w:rPr>
        <w:t xml:space="preserve">Experimental Results on ULB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Metric</w:t>
            </w:r>
          </w:p>
        </w:tc>
        <w:tc>
          <w:tcPr>
            <w:tcW w:type="dxa" w:w="318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Default Parameters</w:t>
            </w:r>
          </w:p>
        </w:tc>
        <w:tc>
          <w:tcPr>
            <w:tcW w:type="dxa" w:w="318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Tuned (n=200, depth=15)</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AUC-ROC</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0.977</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0.986</w:t>
            </w:r>
          </w:p>
        </w:tc>
      </w:tr>
      <w:tr>
        <w:tc>
          <w:tcPr>
            <w:tcW w:type="dxa" w:w="3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Average Precision</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0.801</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0.843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Precision</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0.921</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0.934</w:t>
            </w:r>
          </w:p>
        </w:tc>
      </w:tr>
      <w:tr>
        <w:tc>
          <w:tcPr>
            <w:tcW w:type="dxa" w:w="3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Recall</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0.796</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0.816</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F1-Score</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0.854</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0.873</w:t>
            </w:r>
          </w:p>
        </w:tc>
      </w:tr>
      <w:tr>
        <w:tc>
          <w:tcPr>
            <w:tcW w:type="dxa" w:w="3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False Positive Rate</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0.001</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0.001</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Training Time</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45s</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120s</w:t>
            </w:r>
          </w:p>
        </w:tc>
      </w:tr>
      <w:tr>
        <w:tc>
          <w:tcPr>
            <w:tcW w:type="dxa" w:w="3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Inference (per tx)</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3.2ms</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4.8ms</w:t>
            </w:r>
          </w:p>
        </w:tc>
      </w:tr>
    </w:tbl>
    <w:p>
      <w:pPr>
        <w:spacing w:before="0" w:after="120"/>
      </w:pPr>
      <w:r>
        <w:t xml:space="preserve"/>
      </w:r>
    </w:p>
    <w:p>
      <w:pPr>
        <w:pStyle w:val="Heading2"/>
        <w:spacing w:before="280" w:after="120"/>
      </w:pPr>
      <w:r>
        <w:rPr>
          <w:rFonts w:ascii="Arial" w:cs="Arial" w:eastAsia="Arial" w:hAnsi="Arial"/>
          <w:b/>
          <w:bCs/>
          <w:color w:val="2E7D32"/>
          <w:sz w:val="28"/>
          <w:szCs w:val="28"/>
        </w:rPr>
        <w:t xml:space="preserve">4.3 Approach 3: XGBoost — SELECTED MODEL</w:t>
      </w:r>
    </w:p>
    <w:p>
      <w:pPr>
        <w:pStyle w:val="Heading3"/>
        <w:spacing w:before="200" w:after="80"/>
      </w:pPr>
      <w:r>
        <w:rPr>
          <w:rFonts w:ascii="Arial" w:cs="Arial" w:eastAsia="Arial" w:hAnsi="Arial"/>
          <w:b/>
          <w:bCs/>
          <w:color w:val="388E3C"/>
          <w:sz w:val="24"/>
          <w:szCs w:val="24"/>
        </w:rPr>
        <w:t xml:space="preserve">Algorithm Overview</w:t>
      </w:r>
    </w:p>
    <w:p>
      <w:pPr>
        <w:spacing w:before="80" w:after="160"/>
        <w:jc w:val="both"/>
      </w:pPr>
      <w:r>
        <w:rPr>
          <w:rFonts w:ascii="Arial" w:cs="Arial" w:eastAsia="Arial" w:hAnsi="Arial"/>
          <w:color w:val="333333"/>
          <w:sz w:val="22"/>
          <w:szCs w:val="22"/>
        </w:rPr>
        <w:t xml:space="preserve">XGBoost (eXtreme Gradient Boosting) builds trees sequentially, with each new tree correcting errors made by all previous trees. Unlike Random Forest's parallel bagging, XGBoost uses gradient descent in function space — minimizing a differentiable loss function through second-order Taylor expansion. This allows XGBoost to learn both the direction (gradient) and curvature (Hessian) of the loss landscape, resulting in faster convergence and better performance than first-order methods like Random Forest.</w:t>
      </w:r>
    </w:p>
    <w:p>
      <w:pPr>
        <w:spacing w:before="80" w:after="160"/>
        <w:jc w:val="both"/>
      </w:pPr>
      <w:r>
        <w:rPr>
          <w:rFonts w:ascii="Arial" w:cs="Arial" w:eastAsia="Arial" w:hAnsi="Arial"/>
          <w:color w:val="333333"/>
          <w:sz w:val="22"/>
          <w:szCs w:val="22"/>
        </w:rPr>
        <w:t xml:space="preserve">Critical configuration for fraud detection: scale_pos_weight = negative_samples / positive_samples (approximately 578:1 before SMOTE) instructs XGBoost to weight fraud transactions more heavily in its loss function. Combined with early stopping (30 rounds without improvement), this prevents overfitting while maximizing fraud recall.</w:t>
      </w:r>
    </w:p>
    <w:p>
      <w:pPr>
        <w:pStyle w:val="Heading3"/>
        <w:spacing w:before="200" w:after="80"/>
      </w:pPr>
      <w:r>
        <w:rPr>
          <w:rFonts w:ascii="Arial" w:cs="Arial" w:eastAsia="Arial" w:hAnsi="Arial"/>
          <w:b/>
          <w:bCs/>
          <w:color w:val="388E3C"/>
          <w:sz w:val="24"/>
          <w:szCs w:val="24"/>
        </w:rPr>
        <w:t xml:space="preserve">Why XGBoost is Superior for This Use Case</w:t>
      </w:r>
    </w:p>
    <w:p>
      <w:pPr>
        <w:pStyle w:val="ListParagraph"/>
        <w:numPr>
          <w:ilvl w:val="0"/>
          <w:numId w:val="2"/>
        </w:numPr>
        <w:spacing w:before="60" w:after="60"/>
      </w:pPr>
      <w:r>
        <w:rPr>
          <w:rFonts w:ascii="Arial" w:cs="Arial" w:eastAsia="Arial" w:hAnsi="Arial"/>
          <w:color w:val="333333"/>
          <w:sz w:val="22"/>
          <w:szCs w:val="22"/>
        </w:rPr>
        <w:t xml:space="preserve">Achieves highest AUC-ROC (0.992) and F1-Score (0.899) among all tested approaches</w:t>
      </w:r>
    </w:p>
    <w:p>
      <w:pPr>
        <w:pStyle w:val="ListParagraph"/>
        <w:numPr>
          <w:ilvl w:val="0"/>
          <w:numId w:val="2"/>
        </w:numPr>
        <w:spacing w:before="60" w:after="60"/>
      </w:pPr>
      <w:r>
        <w:rPr>
          <w:rFonts w:ascii="Arial" w:cs="Arial" w:eastAsia="Arial" w:hAnsi="Arial"/>
          <w:color w:val="333333"/>
          <w:sz w:val="22"/>
          <w:szCs w:val="22"/>
        </w:rPr>
        <w:t xml:space="preserve">scale_pos_weight natively handles extreme class imbalance without SMOTE alone</w:t>
      </w:r>
    </w:p>
    <w:p>
      <w:pPr>
        <w:pStyle w:val="ListParagraph"/>
        <w:numPr>
          <w:ilvl w:val="0"/>
          <w:numId w:val="2"/>
        </w:numPr>
        <w:spacing w:before="60" w:after="60"/>
      </w:pPr>
      <w:r>
        <w:rPr>
          <w:rFonts w:ascii="Arial" w:cs="Arial" w:eastAsia="Arial" w:hAnsi="Arial"/>
          <w:color w:val="333333"/>
          <w:sz w:val="22"/>
          <w:szCs w:val="22"/>
        </w:rPr>
        <w:t xml:space="preserve">Built-in L1/L2 regularization (reg_alpha, reg_lambda) prevents overfitting on training SMOTE data</w:t>
      </w:r>
    </w:p>
    <w:p>
      <w:pPr>
        <w:pStyle w:val="ListParagraph"/>
        <w:numPr>
          <w:ilvl w:val="0"/>
          <w:numId w:val="2"/>
        </w:numPr>
        <w:spacing w:before="60" w:after="60"/>
      </w:pPr>
      <w:r>
        <w:rPr>
          <w:rFonts w:ascii="Arial" w:cs="Arial" w:eastAsia="Arial" w:hAnsi="Arial"/>
          <w:color w:val="333333"/>
          <w:sz w:val="22"/>
          <w:szCs w:val="22"/>
        </w:rPr>
        <w:t xml:space="preserve">TreeSHAP provides exact SHAP explanations in polynomial time — critical for GDPR compliance</w:t>
      </w:r>
    </w:p>
    <w:p>
      <w:pPr>
        <w:pStyle w:val="ListParagraph"/>
        <w:numPr>
          <w:ilvl w:val="0"/>
          <w:numId w:val="2"/>
        </w:numPr>
        <w:spacing w:before="60" w:after="60"/>
      </w:pPr>
      <w:r>
        <w:rPr>
          <w:rFonts w:ascii="Arial" w:cs="Arial" w:eastAsia="Arial" w:hAnsi="Arial"/>
          <w:color w:val="333333"/>
          <w:sz w:val="22"/>
          <w:szCs w:val="22"/>
        </w:rPr>
        <w:t xml:space="preserve">Fastest training-to-performance ratio — 200s training for 0.992 AUC vs 120s for 0.986 with Random Forest</w:t>
      </w:r>
    </w:p>
    <w:p>
      <w:pPr>
        <w:pStyle w:val="ListParagraph"/>
        <w:numPr>
          <w:ilvl w:val="0"/>
          <w:numId w:val="2"/>
        </w:numPr>
        <w:spacing w:before="60" w:after="60"/>
      </w:pPr>
      <w:r>
        <w:rPr>
          <w:rFonts w:ascii="Arial" w:cs="Arial" w:eastAsia="Arial" w:hAnsi="Arial"/>
          <w:color w:val="333333"/>
          <w:sz w:val="22"/>
          <w:szCs w:val="22"/>
        </w:rPr>
        <w:t xml:space="preserve">Early stopping with separate validation set prevents overfitting automatically</w:t>
      </w:r>
    </w:p>
    <w:p>
      <w:pPr>
        <w:pStyle w:val="ListParagraph"/>
        <w:numPr>
          <w:ilvl w:val="0"/>
          <w:numId w:val="2"/>
        </w:numPr>
        <w:spacing w:before="60" w:after="60"/>
      </w:pPr>
      <w:r>
        <w:rPr>
          <w:rFonts w:ascii="Arial" w:cs="Arial" w:eastAsia="Arial" w:hAnsi="Arial"/>
          <w:color w:val="333333"/>
          <w:sz w:val="22"/>
          <w:szCs w:val="22"/>
        </w:rPr>
        <w:t xml:space="preserve">subsample and colsample_bytree add stochasticity similar to Random Forest, further reducing variance</w:t>
      </w:r>
    </w:p>
    <w:p>
      <w:pPr>
        <w:pStyle w:val="ListParagraph"/>
        <w:numPr>
          <w:ilvl w:val="0"/>
          <w:numId w:val="2"/>
        </w:numPr>
        <w:spacing w:before="60" w:after="60"/>
      </w:pPr>
      <w:r>
        <w:rPr>
          <w:rFonts w:ascii="Arial" w:cs="Arial" w:eastAsia="Arial" w:hAnsi="Arial"/>
          <w:color w:val="333333"/>
          <w:sz w:val="22"/>
          <w:szCs w:val="22"/>
        </w:rPr>
        <w:t xml:space="preserve">eval_metric='aucpr' optimizes directly for Average Precision — the correct metric for imbalanced data</w:t>
      </w:r>
    </w:p>
    <w:p>
      <w:pPr>
        <w:pStyle w:val="Heading3"/>
        <w:spacing w:before="200" w:after="80"/>
      </w:pPr>
      <w:r>
        <w:rPr>
          <w:rFonts w:ascii="Arial" w:cs="Arial" w:eastAsia="Arial" w:hAnsi="Arial"/>
          <w:b/>
          <w:bCs/>
          <w:color w:val="388E3C"/>
          <w:sz w:val="24"/>
          <w:szCs w:val="24"/>
        </w:rPr>
        <w:t xml:space="preserve">Experimental Results — Full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Metric</w:t>
            </w:r>
          </w:p>
        </w:tc>
        <w:tc>
          <w:tcPr>
            <w:tcW w:type="dxa" w:w="318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XGBoost Base</w:t>
            </w:r>
          </w:p>
        </w:tc>
        <w:tc>
          <w:tcPr>
            <w:tcW w:type="dxa" w:w="318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XGBoost Tuned (GridSearchCV)</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AUC-ROC</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0.987</w:t>
            </w:r>
          </w:p>
        </w:tc>
        <w:tc>
          <w:tcPr>
            <w:tcW w:type="dxa" w:w="3180"/>
            <w:tcBorders>
              <w:top w:val="single" w:color="388E3C" w:sz="4"/>
              <w:left w:val="single" w:color="388E3C" w:sz="4"/>
              <w:bottom w:val="single" w:color="388E3C" w:sz="4"/>
              <w:right w:val="single" w:color="388E3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0.992</w:t>
            </w:r>
          </w:p>
        </w:tc>
      </w:tr>
      <w:tr>
        <w:tc>
          <w:tcPr>
            <w:tcW w:type="dxa" w:w="3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Average Precision</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0.876</w:t>
            </w:r>
          </w:p>
        </w:tc>
        <w:tc>
          <w:tcPr>
            <w:tcW w:type="dxa" w:w="3180"/>
            <w:tcBorders>
              <w:top w:val="single" w:color="388E3C" w:sz="4"/>
              <w:left w:val="single" w:color="388E3C" w:sz="4"/>
              <w:bottom w:val="single" w:color="388E3C" w:sz="4"/>
              <w:right w:val="single" w:color="388E3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0.899</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Precision</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0.951</w:t>
            </w:r>
          </w:p>
        </w:tc>
        <w:tc>
          <w:tcPr>
            <w:tcW w:type="dxa" w:w="3180"/>
            <w:tcBorders>
              <w:top w:val="single" w:color="388E3C" w:sz="4"/>
              <w:left w:val="single" w:color="388E3C" w:sz="4"/>
              <w:bottom w:val="single" w:color="388E3C" w:sz="4"/>
              <w:right w:val="single" w:color="388E3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0.971</w:t>
            </w:r>
          </w:p>
        </w:tc>
      </w:tr>
      <w:tr>
        <w:tc>
          <w:tcPr>
            <w:tcW w:type="dxa" w:w="3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Recall</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0.824</w:t>
            </w:r>
          </w:p>
        </w:tc>
        <w:tc>
          <w:tcPr>
            <w:tcW w:type="dxa" w:w="3180"/>
            <w:tcBorders>
              <w:top w:val="single" w:color="388E3C" w:sz="4"/>
              <w:left w:val="single" w:color="388E3C" w:sz="4"/>
              <w:bottom w:val="single" w:color="388E3C" w:sz="4"/>
              <w:right w:val="single" w:color="388E3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0.837</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F1-Score</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0.883</w:t>
            </w:r>
          </w:p>
        </w:tc>
        <w:tc>
          <w:tcPr>
            <w:tcW w:type="dxa" w:w="3180"/>
            <w:tcBorders>
              <w:top w:val="single" w:color="388E3C" w:sz="4"/>
              <w:left w:val="single" w:color="388E3C" w:sz="4"/>
              <w:bottom w:val="single" w:color="388E3C" w:sz="4"/>
              <w:right w:val="single" w:color="388E3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0.899</w:t>
            </w:r>
          </w:p>
        </w:tc>
      </w:tr>
      <w:tr>
        <w:tc>
          <w:tcPr>
            <w:tcW w:type="dxa" w:w="3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MCC</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0.876</w:t>
            </w:r>
          </w:p>
        </w:tc>
        <w:tc>
          <w:tcPr>
            <w:tcW w:type="dxa" w:w="3180"/>
            <w:tcBorders>
              <w:top w:val="single" w:color="388E3C" w:sz="4"/>
              <w:left w:val="single" w:color="388E3C" w:sz="4"/>
              <w:bottom w:val="single" w:color="388E3C" w:sz="4"/>
              <w:right w:val="single" w:color="388E3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0.891</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False Positive Rate</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0.001</w:t>
            </w:r>
          </w:p>
        </w:tc>
        <w:tc>
          <w:tcPr>
            <w:tcW w:type="dxa" w:w="3180"/>
            <w:tcBorders>
              <w:top w:val="single" w:color="388E3C" w:sz="4"/>
              <w:left w:val="single" w:color="388E3C" w:sz="4"/>
              <w:bottom w:val="single" w:color="388E3C" w:sz="4"/>
              <w:right w:val="single" w:color="388E3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&lt;0.001</w:t>
            </w:r>
          </w:p>
        </w:tc>
      </w:tr>
      <w:tr>
        <w:tc>
          <w:tcPr>
            <w:tcW w:type="dxa" w:w="3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Training Time</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80s</w:t>
            </w:r>
          </w:p>
        </w:tc>
        <w:tc>
          <w:tcPr>
            <w:tcW w:type="dxa" w:w="3180"/>
            <w:tcBorders>
              <w:top w:val="single" w:color="388E3C" w:sz="4"/>
              <w:left w:val="single" w:color="388E3C" w:sz="4"/>
              <w:bottom w:val="single" w:color="388E3C" w:sz="4"/>
              <w:right w:val="single" w:color="388E3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200s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Inference (per tx)</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1.8ms</w:t>
            </w:r>
          </w:p>
        </w:tc>
        <w:tc>
          <w:tcPr>
            <w:tcW w:type="dxa" w:w="3180"/>
            <w:tcBorders>
              <w:top w:val="single" w:color="388E3C" w:sz="4"/>
              <w:left w:val="single" w:color="388E3C" w:sz="4"/>
              <w:bottom w:val="single" w:color="388E3C" w:sz="4"/>
              <w:right w:val="single" w:color="388E3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2.1ms</w:t>
            </w:r>
          </w:p>
        </w:tc>
      </w:tr>
    </w:tbl>
    <w:p>
      <w:pPr>
        <w:spacing w:before="0" w:after="120"/>
      </w:pPr>
      <w:r>
        <w:t xml:space="preserve"/>
      </w:r>
    </w:p>
    <w:p>
      <w:pPr>
        <w:pStyle w:val="Heading2"/>
        <w:spacing w:before="280" w:after="120"/>
      </w:pPr>
      <w:r>
        <w:rPr>
          <w:rFonts w:ascii="Arial" w:cs="Arial" w:eastAsia="Arial" w:hAnsi="Arial"/>
          <w:b/>
          <w:bCs/>
          <w:color w:val="2E7D32"/>
          <w:sz w:val="28"/>
          <w:szCs w:val="28"/>
        </w:rPr>
        <w:t xml:space="preserve">4.4 Approach 4: Autoencoder — Anomaly Detection</w:t>
      </w:r>
    </w:p>
    <w:p>
      <w:pPr>
        <w:pStyle w:val="Heading3"/>
        <w:spacing w:before="200" w:after="80"/>
      </w:pPr>
      <w:r>
        <w:rPr>
          <w:rFonts w:ascii="Arial" w:cs="Arial" w:eastAsia="Arial" w:hAnsi="Arial"/>
          <w:b/>
          <w:bCs/>
          <w:color w:val="388E3C"/>
          <w:sz w:val="24"/>
          <w:szCs w:val="24"/>
        </w:rPr>
        <w:t xml:space="preserve">Algorithm Overview</w:t>
      </w:r>
    </w:p>
    <w:p>
      <w:pPr>
        <w:spacing w:before="80" w:after="160"/>
        <w:jc w:val="both"/>
      </w:pPr>
      <w:r>
        <w:rPr>
          <w:rFonts w:ascii="Arial" w:cs="Arial" w:eastAsia="Arial" w:hAnsi="Arial"/>
          <w:color w:val="333333"/>
          <w:sz w:val="22"/>
          <w:szCs w:val="22"/>
        </w:rPr>
        <w:t xml:space="preserve">An Autoencoder is an unsupervised neural network trained to reconstruct its input through a bottleneck latent representation. The network encodes input features to a lower-dimensional space (Encoder: 30 → 16 → 8) and then decodes back to original dimensions (Decoder: 8 → 16 → 30). During training on legitimate transactions only, the network learns to reconstruct normal patterns efficiently. Fraud transactions, being anomalous patterns the network was never trained on, produce high reconstruction errors — which become the fraud signal.</w:t>
      </w:r>
    </w:p>
    <w:p>
      <w:pPr>
        <w:pStyle w:val="Heading3"/>
        <w:spacing w:before="200" w:after="80"/>
      </w:pPr>
      <w:r>
        <w:rPr>
          <w:rFonts w:ascii="Arial" w:cs="Arial" w:eastAsia="Arial" w:hAnsi="Arial"/>
          <w:b/>
          <w:bCs/>
          <w:color w:val="388E3C"/>
          <w:sz w:val="24"/>
          <w:szCs w:val="24"/>
        </w:rPr>
        <w:t xml:space="preserve">Unique Advantage: Unsupervised Learning</w:t>
      </w:r>
    </w:p>
    <w:p>
      <w:pPr>
        <w:spacing w:before="80" w:after="160"/>
        <w:jc w:val="both"/>
      </w:pPr>
      <w:r>
        <w:rPr>
          <w:rFonts w:ascii="Arial" w:cs="Arial" w:eastAsia="Arial" w:hAnsi="Arial"/>
          <w:color w:val="333333"/>
          <w:sz w:val="22"/>
          <w:szCs w:val="22"/>
        </w:rPr>
        <w:t xml:space="preserve">The Autoencoder's key advantage is that it requires no labeled fraud examples during training — it learns the distribution of legitimate transactions and flags deviations. This makes it valuable for detecting novel fraud patterns not seen in historical data (zero-day fraud attacks). However, this comes at a cost:</w:t>
      </w:r>
    </w:p>
    <w:p>
      <w:pPr>
        <w:pStyle w:val="Heading3"/>
        <w:spacing w:before="200" w:after="80"/>
      </w:pPr>
      <w:r>
        <w:rPr>
          <w:rFonts w:ascii="Arial" w:cs="Arial" w:eastAsia="Arial" w:hAnsi="Arial"/>
          <w:b/>
          <w:bCs/>
          <w:color w:val="388E3C"/>
          <w:sz w:val="24"/>
          <w:szCs w:val="24"/>
        </w:rPr>
        <w:t xml:space="preserve">Limitations</w:t>
      </w:r>
    </w:p>
    <w:p>
      <w:pPr>
        <w:pStyle w:val="ListParagraph"/>
        <w:numPr>
          <w:ilvl w:val="0"/>
          <w:numId w:val="2"/>
        </w:numPr>
        <w:spacing w:before="60" w:after="60"/>
      </w:pPr>
      <w:r>
        <w:rPr>
          <w:rFonts w:ascii="Arial" w:cs="Arial" w:eastAsia="Arial" w:hAnsi="Arial"/>
          <w:color w:val="333333"/>
          <w:sz w:val="22"/>
          <w:szCs w:val="22"/>
        </w:rPr>
        <w:t xml:space="preserve">Lower AUC-ROC (0.947) compared to supervised approaches — less precise discrimination</w:t>
      </w:r>
    </w:p>
    <w:p>
      <w:pPr>
        <w:pStyle w:val="ListParagraph"/>
        <w:numPr>
          <w:ilvl w:val="0"/>
          <w:numId w:val="2"/>
        </w:numPr>
        <w:spacing w:before="60" w:after="60"/>
      </w:pPr>
      <w:r>
        <w:rPr>
          <w:rFonts w:ascii="Arial" w:cs="Arial" w:eastAsia="Arial" w:hAnsi="Arial"/>
          <w:color w:val="333333"/>
          <w:sz w:val="22"/>
          <w:szCs w:val="22"/>
        </w:rPr>
        <w:t xml:space="preserve">Threshold selection for reconstruction error is challenging and domain-specific</w:t>
      </w:r>
    </w:p>
    <w:p>
      <w:pPr>
        <w:pStyle w:val="ListParagraph"/>
        <w:numPr>
          <w:ilvl w:val="0"/>
          <w:numId w:val="2"/>
        </w:numPr>
        <w:spacing w:before="60" w:after="60"/>
      </w:pPr>
      <w:r>
        <w:rPr>
          <w:rFonts w:ascii="Arial" w:cs="Arial" w:eastAsia="Arial" w:hAnsi="Arial"/>
          <w:color w:val="333333"/>
          <w:sz w:val="22"/>
          <w:szCs w:val="22"/>
        </w:rPr>
        <w:t xml:space="preserve">Requires GPU for production-scale inference to meet latency requirements</w:t>
      </w:r>
    </w:p>
    <w:p>
      <w:pPr>
        <w:pStyle w:val="ListParagraph"/>
        <w:numPr>
          <w:ilvl w:val="0"/>
          <w:numId w:val="2"/>
        </w:numPr>
        <w:spacing w:before="60" w:after="60"/>
      </w:pPr>
      <w:r>
        <w:rPr>
          <w:rFonts w:ascii="Arial" w:cs="Arial" w:eastAsia="Arial" w:hAnsi="Arial"/>
          <w:color w:val="333333"/>
          <w:sz w:val="22"/>
          <w:szCs w:val="22"/>
        </w:rPr>
        <w:t xml:space="preserve">Less interpretable — reconstruction error is a scalar, not as informative as SHAP values</w:t>
      </w:r>
    </w:p>
    <w:p>
      <w:pPr>
        <w:pStyle w:val="ListParagraph"/>
        <w:numPr>
          <w:ilvl w:val="0"/>
          <w:numId w:val="2"/>
        </w:numPr>
        <w:spacing w:before="60" w:after="60"/>
      </w:pPr>
      <w:r>
        <w:rPr>
          <w:rFonts w:ascii="Arial" w:cs="Arial" w:eastAsia="Arial" w:hAnsi="Arial"/>
          <w:color w:val="333333"/>
          <w:sz w:val="22"/>
          <w:szCs w:val="22"/>
        </w:rPr>
        <w:t xml:space="preserve">More sensitive to hyperparameter choices (latent dimension size, architecture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Metric</w:t>
            </w:r>
          </w:p>
        </w:tc>
        <w:tc>
          <w:tcPr>
            <w:tcW w:type="dxa" w:w="318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Autoencoder (CPU)</w:t>
            </w:r>
          </w:p>
        </w:tc>
        <w:tc>
          <w:tcPr>
            <w:tcW w:type="dxa" w:w="318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Autoencoder (GPU)</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AUC-ROC</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0.936</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0.947</w:t>
            </w:r>
          </w:p>
        </w:tc>
      </w:tr>
      <w:tr>
        <w:tc>
          <w:tcPr>
            <w:tcW w:type="dxa" w:w="3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Average Precision</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0.681</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0.712</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Precision</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0.873</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0.891</w:t>
            </w:r>
          </w:p>
        </w:tc>
      </w:tr>
      <w:tr>
        <w:tc>
          <w:tcPr>
            <w:tcW w:type="dxa" w:w="3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Recall</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0.762</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0.793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F1-Score</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0.813</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0.839</w:t>
            </w:r>
          </w:p>
        </w:tc>
      </w:tr>
      <w:tr>
        <w:tc>
          <w:tcPr>
            <w:tcW w:type="dxa" w:w="3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Training Time</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480s</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45s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Inference (per tx)</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15ms</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2ms</w:t>
            </w:r>
          </w:p>
        </w:tc>
      </w:tr>
      <w:tr>
        <w:tc>
          <w:tcPr>
            <w:tcW w:type="dxa" w:w="3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Requires Labels?</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No</w:t>
            </w:r>
          </w:p>
        </w:tc>
        <w:tc>
          <w:tcPr>
            <w:tcW w:type="dxa" w:w="318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No</w:t>
            </w:r>
          </w:p>
        </w:tc>
      </w:tr>
    </w:tbl>
    <w:p>
      <w:pPr>
        <w:spacing w:before="0" w:after="120"/>
      </w:pPr>
      <w:r>
        <w:t xml:space="preserve"/>
      </w:r>
    </w:p>
    <w:p>
      <w:r>
        <w:br w:type="page"/>
      </w:r>
    </w:p>
    <w:p>
      <w:pPr>
        <w:pStyle w:val="Heading1"/>
        <w:pBdr>
          <w:bottom w:val="single" w:color="2E7D32" w:sz="8" w:space="4"/>
        </w:pBdr>
        <w:spacing w:before="360" w:after="160"/>
      </w:pPr>
      <w:r>
        <w:rPr>
          <w:rFonts w:ascii="Arial" w:cs="Arial" w:eastAsia="Arial" w:hAnsi="Arial"/>
          <w:b/>
          <w:bCs/>
          <w:color w:val="1B5E20"/>
          <w:sz w:val="36"/>
          <w:szCs w:val="36"/>
        </w:rPr>
        <w:t xml:space="preserve">5. Multi-Criteria Decision Matrix</w:t>
      </w:r>
    </w:p>
    <w:p>
      <w:pPr>
        <w:spacing w:before="80" w:after="160"/>
        <w:jc w:val="both"/>
      </w:pPr>
      <w:r>
        <w:rPr>
          <w:rFonts w:ascii="Arial" w:cs="Arial" w:eastAsia="Arial" w:hAnsi="Arial"/>
          <w:color w:val="333333"/>
          <w:sz w:val="22"/>
          <w:szCs w:val="22"/>
        </w:rPr>
        <w:t xml:space="preserve">A structured decision matrix evaluates all four approaches across six weighted criteria. Scores are on a 1–5 scale (5 = best). Weights reflect business priorities for a financial institution.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720"/>
        <w:gridCol w:w="1310"/>
        <w:gridCol w:w="1310"/>
        <w:gridCol w:w="1310"/>
        <w:gridCol w:w="1310"/>
        <w:gridCol w:w="900"/>
      </w:tblGrid>
      <w:tr>
        <w:tc>
          <w:tcPr>
            <w:tcW w:type="dxa" w:w="250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Criterion (Weight)</w:t>
            </w:r>
          </w:p>
        </w:tc>
        <w:tc>
          <w:tcPr>
            <w:tcW w:type="dxa" w:w="72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Wt.</w:t>
            </w:r>
          </w:p>
        </w:tc>
        <w:tc>
          <w:tcPr>
            <w:tcW w:type="dxa" w:w="131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Log. Reg.</w:t>
            </w:r>
          </w:p>
        </w:tc>
        <w:tc>
          <w:tcPr>
            <w:tcW w:type="dxa" w:w="131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Rand. Forest</w:t>
            </w:r>
          </w:p>
        </w:tc>
        <w:tc>
          <w:tcPr>
            <w:tcW w:type="dxa" w:w="131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XGBoost</w:t>
            </w:r>
          </w:p>
        </w:tc>
        <w:tc>
          <w:tcPr>
            <w:tcW w:type="dxa" w:w="131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Autoencoder</w:t>
            </w:r>
          </w:p>
        </w:tc>
        <w:tc>
          <w:tcPr>
            <w:tcW w:type="dxa" w:w="90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Notes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Detection Performance</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25%</w:t>
            </w:r>
          </w:p>
        </w:tc>
        <w:tc>
          <w:tcPr>
            <w:tcW w:type="dxa" w:w="13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3.5</w:t>
            </w:r>
          </w:p>
        </w:tc>
        <w:tc>
          <w:tcPr>
            <w:tcW w:type="dxa" w:w="13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4.5</w:t>
            </w:r>
          </w:p>
        </w:tc>
        <w:tc>
          <w:tcPr>
            <w:tcW w:type="dxa" w:w="1310"/>
            <w:tcBorders>
              <w:top w:val="single" w:color="388E3C" w:sz="4"/>
              <w:left w:val="single" w:color="388E3C" w:sz="4"/>
              <w:bottom w:val="single" w:color="388E3C" w:sz="4"/>
              <w:right w:val="single" w:color="388E3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5.0</w:t>
            </w:r>
          </w:p>
        </w:tc>
        <w:tc>
          <w:tcPr>
            <w:tcW w:type="dxa" w:w="13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3.8</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AUC + Recall</w:t>
            </w:r>
          </w:p>
        </w:tc>
      </w:tr>
      <w:tr>
        <w:tc>
          <w:tcPr>
            <w:tcW w:type="dxa" w:w="25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Inference Speed</w:t>
            </w:r>
          </w:p>
        </w:tc>
        <w:tc>
          <w:tcPr>
            <w:tcW w:type="dxa" w:w="72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20%</w:t>
            </w:r>
          </w:p>
        </w:tc>
        <w:tc>
          <w:tcPr>
            <w:tcW w:type="dxa" w:w="131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5.0</w:t>
            </w:r>
          </w:p>
        </w:tc>
        <w:tc>
          <w:tcPr>
            <w:tcW w:type="dxa" w:w="131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4.0</w:t>
            </w:r>
          </w:p>
        </w:tc>
        <w:tc>
          <w:tcPr>
            <w:tcW w:type="dxa" w:w="1310"/>
            <w:tcBorders>
              <w:top w:val="single" w:color="388E3C" w:sz="4"/>
              <w:left w:val="single" w:color="388E3C" w:sz="4"/>
              <w:bottom w:val="single" w:color="388E3C" w:sz="4"/>
              <w:right w:val="single" w:color="388E3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4.5</w:t>
            </w:r>
          </w:p>
        </w:tc>
        <w:tc>
          <w:tcPr>
            <w:tcW w:type="dxa" w:w="131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3.0</w:t>
            </w:r>
          </w:p>
        </w:tc>
        <w:tc>
          <w:tcPr>
            <w:tcW w:type="dxa" w:w="9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Latency req.</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Explainability</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20%</w:t>
            </w:r>
          </w:p>
        </w:tc>
        <w:tc>
          <w:tcPr>
            <w:tcW w:type="dxa" w:w="13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5.0</w:t>
            </w:r>
          </w:p>
        </w:tc>
        <w:tc>
          <w:tcPr>
            <w:tcW w:type="dxa" w:w="13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3.5</w:t>
            </w:r>
          </w:p>
        </w:tc>
        <w:tc>
          <w:tcPr>
            <w:tcW w:type="dxa" w:w="1310"/>
            <w:tcBorders>
              <w:top w:val="single" w:color="388E3C" w:sz="4"/>
              <w:left w:val="single" w:color="388E3C" w:sz="4"/>
              <w:bottom w:val="single" w:color="388E3C" w:sz="4"/>
              <w:right w:val="single" w:color="388E3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4.5</w:t>
            </w:r>
          </w:p>
        </w:tc>
        <w:tc>
          <w:tcPr>
            <w:tcW w:type="dxa" w:w="13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2.0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GDPR Art.22</w:t>
            </w:r>
          </w:p>
        </w:tc>
      </w:tr>
      <w:tr>
        <w:tc>
          <w:tcPr>
            <w:tcW w:type="dxa" w:w="25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Imbalance Handling</w:t>
            </w:r>
          </w:p>
        </w:tc>
        <w:tc>
          <w:tcPr>
            <w:tcW w:type="dxa" w:w="72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15%</w:t>
            </w:r>
          </w:p>
        </w:tc>
        <w:tc>
          <w:tcPr>
            <w:tcW w:type="dxa" w:w="131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3.5</w:t>
            </w:r>
          </w:p>
        </w:tc>
        <w:tc>
          <w:tcPr>
            <w:tcW w:type="dxa" w:w="131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4.0</w:t>
            </w:r>
          </w:p>
        </w:tc>
        <w:tc>
          <w:tcPr>
            <w:tcW w:type="dxa" w:w="1310"/>
            <w:tcBorders>
              <w:top w:val="single" w:color="388E3C" w:sz="4"/>
              <w:left w:val="single" w:color="388E3C" w:sz="4"/>
              <w:bottom w:val="single" w:color="388E3C" w:sz="4"/>
              <w:right w:val="single" w:color="388E3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5.0</w:t>
            </w:r>
          </w:p>
        </w:tc>
        <w:tc>
          <w:tcPr>
            <w:tcW w:type="dxa" w:w="131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4.0</w:t>
            </w:r>
          </w:p>
        </w:tc>
        <w:tc>
          <w:tcPr>
            <w:tcW w:type="dxa" w:w="9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577:1 ratio</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Deployment Ease</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12%</w:t>
            </w:r>
          </w:p>
        </w:tc>
        <w:tc>
          <w:tcPr>
            <w:tcW w:type="dxa" w:w="13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5.0</w:t>
            </w:r>
          </w:p>
        </w:tc>
        <w:tc>
          <w:tcPr>
            <w:tcW w:type="dxa" w:w="13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3.5</w:t>
            </w:r>
          </w:p>
        </w:tc>
        <w:tc>
          <w:tcPr>
            <w:tcW w:type="dxa" w:w="1310"/>
            <w:tcBorders>
              <w:top w:val="single" w:color="388E3C" w:sz="4"/>
              <w:left w:val="single" w:color="388E3C" w:sz="4"/>
              <w:bottom w:val="single" w:color="388E3C" w:sz="4"/>
              <w:right w:val="single" w:color="388E3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4.5</w:t>
            </w:r>
          </w:p>
        </w:tc>
        <w:tc>
          <w:tcPr>
            <w:tcW w:type="dxa" w:w="13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2.5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Ops overhead</w:t>
            </w:r>
          </w:p>
        </w:tc>
      </w:tr>
      <w:tr>
        <w:tc>
          <w:tcPr>
            <w:tcW w:type="dxa" w:w="25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Retraining Cost</w:t>
            </w:r>
          </w:p>
        </w:tc>
        <w:tc>
          <w:tcPr>
            <w:tcW w:type="dxa" w:w="72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8%</w:t>
            </w:r>
          </w:p>
        </w:tc>
        <w:tc>
          <w:tcPr>
            <w:tcW w:type="dxa" w:w="131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5.0</w:t>
            </w:r>
          </w:p>
        </w:tc>
        <w:tc>
          <w:tcPr>
            <w:tcW w:type="dxa" w:w="131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3.5</w:t>
            </w:r>
          </w:p>
        </w:tc>
        <w:tc>
          <w:tcPr>
            <w:tcW w:type="dxa" w:w="1310"/>
            <w:tcBorders>
              <w:top w:val="single" w:color="388E3C" w:sz="4"/>
              <w:left w:val="single" w:color="388E3C" w:sz="4"/>
              <w:bottom w:val="single" w:color="388E3C" w:sz="4"/>
              <w:right w:val="single" w:color="388E3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4.0</w:t>
            </w:r>
          </w:p>
        </w:tc>
        <w:tc>
          <w:tcPr>
            <w:tcW w:type="dxa" w:w="131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3.0</w:t>
            </w:r>
          </w:p>
        </w:tc>
        <w:tc>
          <w:tcPr>
            <w:tcW w:type="dxa" w:w="9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Monthly cycle</w:t>
            </w:r>
          </w:p>
        </w:tc>
      </w:tr>
      <w:tr>
        <w:tc>
          <w:tcPr>
            <w:tcW w:type="dxa" w:w="2500"/>
            <w:tcBorders>
              <w:top w:val="single" w:color="388E3C" w:sz="4"/>
              <w:left w:val="single" w:color="388E3C" w:sz="4"/>
              <w:bottom w:val="single" w:color="388E3C" w:sz="4"/>
              <w:right w:val="single" w:color="388E3C" w:sz="4"/>
            </w:tcBorders>
            <w:shd w:fill="C8E6C9" w:val="clear"/>
            <w:tcMar>
              <w:top w:type="dxa" w:w="100"/>
              <w:left w:type="dxa" w:w="120"/>
              <w:bottom w:type="dxa" w:w="100"/>
              <w:right w:type="dxa" w:w="120"/>
            </w:tcMar>
          </w:tcPr>
          <w:p>
            <w:r>
              <w:rPr>
                <w:rFonts w:ascii="Arial" w:cs="Arial" w:eastAsia="Arial" w:hAnsi="Arial"/>
                <w:b/>
                <w:bCs/>
                <w:color w:val="1B5E20"/>
                <w:sz w:val="20"/>
                <w:szCs w:val="20"/>
              </w:rPr>
              <w:t xml:space="preserve">WEIGHTED TOTAL</w:t>
            </w:r>
          </w:p>
        </w:tc>
        <w:tc>
          <w:tcPr>
            <w:tcW w:type="dxa" w:w="72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tcPr>
          <w:p>
            <w:pPr>
              <w:jc w:val="center"/>
            </w:pPr>
            <w:r>
              <w:rPr>
                <w:rFonts w:ascii="Arial" w:cs="Arial" w:eastAsia="Arial" w:hAnsi="Arial"/>
                <w:color w:val="333333"/>
                <w:sz w:val="20"/>
                <w:szCs w:val="20"/>
              </w:rPr>
              <w:t xml:space="preserve">100%</w:t>
            </w:r>
          </w:p>
        </w:tc>
        <w:tc>
          <w:tcPr>
            <w:tcW w:type="dxa" w:w="131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tcPr>
          <w:p>
            <w:pPr>
              <w:jc w:val="center"/>
            </w:pPr>
            <w:r>
              <w:rPr>
                <w:rFonts w:ascii="Arial" w:cs="Arial" w:eastAsia="Arial" w:hAnsi="Arial"/>
                <w:color w:val="333333"/>
                <w:sz w:val="20"/>
                <w:szCs w:val="20"/>
              </w:rPr>
              <w:t xml:space="preserve">4.22</w:t>
            </w:r>
          </w:p>
        </w:tc>
        <w:tc>
          <w:tcPr>
            <w:tcW w:type="dxa" w:w="131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tcPr>
          <w:p>
            <w:pPr>
              <w:jc w:val="center"/>
            </w:pPr>
            <w:r>
              <w:rPr>
                <w:rFonts w:ascii="Arial" w:cs="Arial" w:eastAsia="Arial" w:hAnsi="Arial"/>
                <w:color w:val="333333"/>
                <w:sz w:val="20"/>
                <w:szCs w:val="20"/>
              </w:rPr>
              <w:t xml:space="preserve">3.98</w:t>
            </w:r>
          </w:p>
        </w:tc>
        <w:tc>
          <w:tcPr>
            <w:tcW w:type="dxa" w:w="1310"/>
            <w:tcBorders>
              <w:top w:val="single" w:color="388E3C" w:sz="4"/>
              <w:left w:val="single" w:color="388E3C" w:sz="4"/>
              <w:bottom w:val="single" w:color="388E3C" w:sz="4"/>
              <w:right w:val="single" w:color="388E3C"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4.62 🏆</w:t>
            </w:r>
          </w:p>
        </w:tc>
        <w:tc>
          <w:tcPr>
            <w:tcW w:type="dxa" w:w="131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tcPr>
          <w:p>
            <w:pPr>
              <w:jc w:val="center"/>
            </w:pPr>
            <w:r>
              <w:rPr>
                <w:rFonts w:ascii="Arial" w:cs="Arial" w:eastAsia="Arial" w:hAnsi="Arial"/>
                <w:color w:val="333333"/>
                <w:sz w:val="20"/>
                <w:szCs w:val="20"/>
              </w:rPr>
              <w:t xml:space="preserve">3.21</w:t>
            </w:r>
          </w:p>
        </w:tc>
        <w:tc>
          <w:tcPr>
            <w:tcW w:type="dxa" w:w="9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tcPr>
          <w:p>
            <w:pPr>
              <w:jc w:val="left"/>
            </w:pPr>
            <w:r>
              <w:rPr>
                <w:rFonts w:ascii="Arial" w:cs="Arial" w:eastAsia="Arial" w:hAnsi="Arial"/>
                <w:color w:val="333333"/>
                <w:sz w:val="20"/>
                <w:szCs w:val="20"/>
              </w:rPr>
              <w:t xml:space="preserve"/>
            </w:r>
          </w:p>
        </w:tc>
      </w:tr>
      <w:tr>
        <w:tc>
          <w:tcPr>
            <w:tcW w:type="dxa" w:w="2500"/>
            <w:tcBorders>
              <w:top w:val="single" w:color="388E3C" w:sz="4"/>
              <w:left w:val="single" w:color="388E3C" w:sz="4"/>
              <w:bottom w:val="single" w:color="388E3C" w:sz="4"/>
              <w:right w:val="single" w:color="388E3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RANK</w:t>
            </w:r>
          </w:p>
        </w:tc>
        <w:tc>
          <w:tcPr>
            <w:tcW w:type="dxa" w:w="72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
            </w:r>
          </w:p>
        </w:tc>
        <w:tc>
          <w:tcPr>
            <w:tcW w:type="dxa" w:w="131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2nd</w:t>
            </w:r>
          </w:p>
        </w:tc>
        <w:tc>
          <w:tcPr>
            <w:tcW w:type="dxa" w:w="131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3rd</w:t>
            </w:r>
          </w:p>
        </w:tc>
        <w:tc>
          <w:tcPr>
            <w:tcW w:type="dxa" w:w="1310"/>
            <w:tcBorders>
              <w:top w:val="single" w:color="388E3C" w:sz="4"/>
              <w:left w:val="single" w:color="388E3C" w:sz="4"/>
              <w:bottom w:val="single" w:color="388E3C" w:sz="4"/>
              <w:right w:val="single" w:color="388E3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1st</w:t>
            </w:r>
          </w:p>
        </w:tc>
        <w:tc>
          <w:tcPr>
            <w:tcW w:type="dxa" w:w="131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4th</w:t>
            </w:r>
          </w:p>
        </w:tc>
        <w:tc>
          <w:tcPr>
            <w:tcW w:type="dxa" w:w="9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
            </w:r>
          </w:p>
        </w:tc>
      </w:tr>
    </w:tbl>
    <w:p>
      <w:pPr>
        <w:spacing w:before="0" w:after="120"/>
      </w:pPr>
      <w:r>
        <w:t xml:space="preserve"/>
      </w:r>
    </w:p>
    <w:p>
      <w:pPr>
        <w:spacing w:before="80" w:after="160"/>
        <w:jc w:val="both"/>
      </w:pPr>
      <w:r>
        <w:rPr>
          <w:rFonts w:ascii="Arial" w:cs="Arial" w:eastAsia="Arial" w:hAnsi="Arial"/>
          <w:color w:val="333333"/>
          <w:sz w:val="22"/>
          <w:szCs w:val="22"/>
        </w:rPr>
        <w:t xml:space="preserve">Note: Logistic Regression ranks 2nd overall due to high explainability and deployment simplicity scores. It is recommended as a secondary model for edge cases where explainability is paramount.</w:t>
      </w:r>
    </w:p>
    <w:p>
      <w:r>
        <w:br w:type="page"/>
      </w:r>
    </w:p>
    <w:p>
      <w:pPr>
        <w:pStyle w:val="Heading1"/>
        <w:pBdr>
          <w:bottom w:val="single" w:color="2E7D32" w:sz="8" w:space="4"/>
        </w:pBdr>
        <w:spacing w:before="360" w:after="160"/>
      </w:pPr>
      <w:r>
        <w:rPr>
          <w:rFonts w:ascii="Arial" w:cs="Arial" w:eastAsia="Arial" w:hAnsi="Arial"/>
          <w:b/>
          <w:bCs/>
          <w:color w:val="1B5E20"/>
          <w:sz w:val="36"/>
          <w:szCs w:val="36"/>
        </w:rPr>
        <w:t xml:space="preserve">6. Technology Stack Evaluation</w:t>
      </w:r>
    </w:p>
    <w:p>
      <w:pPr>
        <w:spacing w:before="80" w:after="160"/>
        <w:jc w:val="both"/>
      </w:pPr>
      <w:r>
        <w:rPr>
          <w:rFonts w:ascii="Arial" w:cs="Arial" w:eastAsia="Arial" w:hAnsi="Arial"/>
          <w:color w:val="333333"/>
          <w:sz w:val="22"/>
          <w:szCs w:val="22"/>
        </w:rPr>
        <w:t xml:space="preserve">The following technology stack was evaluated and selected for implementing the XGBoost-based fraud detection system. All components are open-source with active community support and enterprise-grade production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2160"/>
        <w:gridCol w:w="2200"/>
      </w:tblGrid>
      <w:tr>
        <w:tc>
          <w:tcPr>
            <w:tcW w:type="dxa" w:w="180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Component</w:t>
            </w:r>
          </w:p>
        </w:tc>
        <w:tc>
          <w:tcPr>
            <w:tcW w:type="dxa" w:w="140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Tool/Version</w:t>
            </w:r>
          </w:p>
        </w:tc>
        <w:tc>
          <w:tcPr>
            <w:tcW w:type="dxa" w:w="180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Purpose</w:t>
            </w:r>
          </w:p>
        </w:tc>
        <w:tc>
          <w:tcPr>
            <w:tcW w:type="dxa" w:w="216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Why Selected</w:t>
            </w:r>
          </w:p>
        </w:tc>
        <w:tc>
          <w:tcPr>
            <w:tcW w:type="dxa" w:w="220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Alternatives Considered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ML Framework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XGBoost 2.0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Primary model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Best tabular performance + SHAP support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LightGBM, CatBoost</w:t>
            </w:r>
          </w:p>
        </w:tc>
      </w:tr>
      <w:tr>
        <w:tc>
          <w:tcPr>
            <w:tcW w:type="dxa" w:w="18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ML Library</w:t>
            </w:r>
          </w:p>
        </w:tc>
        <w:tc>
          <w:tcPr>
            <w:tcW w:type="dxa" w:w="14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scikit-learn 1.3</w:t>
            </w:r>
          </w:p>
        </w:tc>
        <w:tc>
          <w:tcPr>
            <w:tcW w:type="dxa" w:w="18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Pipeline, metrics, CV</w:t>
            </w:r>
          </w:p>
        </w:tc>
        <w:tc>
          <w:tcPr>
            <w:tcW w:type="dxa" w:w="216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Industry standard, extensive ecosystem</w:t>
            </w:r>
          </w:p>
        </w:tc>
        <w:tc>
          <w:tcPr>
            <w:tcW w:type="dxa" w:w="22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Spark MLlib</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Imbalancing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imbalanced-learn 0.11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SMOTE oversampling</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De-facto standard, scikit-learn API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Manual SMOTE</w:t>
            </w:r>
          </w:p>
        </w:tc>
      </w:tr>
      <w:tr>
        <w:tc>
          <w:tcPr>
            <w:tcW w:type="dxa" w:w="18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Explainability</w:t>
            </w:r>
          </w:p>
        </w:tc>
        <w:tc>
          <w:tcPr>
            <w:tcW w:type="dxa" w:w="14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SHAP 0.43</w:t>
            </w:r>
          </w:p>
        </w:tc>
        <w:tc>
          <w:tcPr>
            <w:tcW w:type="dxa" w:w="18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Model explanations</w:t>
            </w:r>
          </w:p>
        </w:tc>
        <w:tc>
          <w:tcPr>
            <w:tcW w:type="dxa" w:w="216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GDPR compliance, TreeSHAP efficiency</w:t>
            </w:r>
          </w:p>
        </w:tc>
        <w:tc>
          <w:tcPr>
            <w:tcW w:type="dxa" w:w="22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LIME, Anchors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Data Processing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pandas 2.0 + numpy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Feature engineering</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Ubiquitous, optimized for tabular data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Polars</w:t>
            </w:r>
          </w:p>
        </w:tc>
      </w:tr>
      <w:tr>
        <w:tc>
          <w:tcPr>
            <w:tcW w:type="dxa" w:w="18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Visualization</w:t>
            </w:r>
          </w:p>
        </w:tc>
        <w:tc>
          <w:tcPr>
            <w:tcW w:type="dxa" w:w="14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matplotlib + seaborn</w:t>
            </w:r>
          </w:p>
        </w:tc>
        <w:tc>
          <w:tcPr>
            <w:tcW w:type="dxa" w:w="18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EDA and reporting</w:t>
            </w:r>
          </w:p>
        </w:tc>
        <w:tc>
          <w:tcPr>
            <w:tcW w:type="dxa" w:w="216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Flexible, publication-quality plots</w:t>
            </w:r>
          </w:p>
        </w:tc>
        <w:tc>
          <w:tcPr>
            <w:tcW w:type="dxa" w:w="22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Plotly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Demo Interface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Streamlit 1.28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Interactive web app</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Fastest ML app deployment, Python-native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Gradio, Flask</w:t>
            </w:r>
          </w:p>
        </w:tc>
      </w:tr>
      <w:tr>
        <w:tc>
          <w:tcPr>
            <w:tcW w:type="dxa" w:w="18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Experiment Track.</w:t>
            </w:r>
          </w:p>
        </w:tc>
        <w:tc>
          <w:tcPr>
            <w:tcW w:type="dxa" w:w="14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MLflow 2.8</w:t>
            </w:r>
          </w:p>
        </w:tc>
        <w:tc>
          <w:tcPr>
            <w:tcW w:type="dxa" w:w="18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Model versioning</w:t>
            </w:r>
          </w:p>
        </w:tc>
        <w:tc>
          <w:tcPr>
            <w:tcW w:type="dxa" w:w="216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Industry standard MLOps platform</w:t>
            </w:r>
          </w:p>
        </w:tc>
        <w:tc>
          <w:tcPr>
            <w:tcW w:type="dxa" w:w="22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W&amp;B, DVC</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Model Serving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FastAPI 0.104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REST API endpoint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Async, OpenAPI docs auto-generated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Flask, Django</w:t>
            </w:r>
          </w:p>
        </w:tc>
      </w:tr>
      <w:tr>
        <w:tc>
          <w:tcPr>
            <w:tcW w:type="dxa" w:w="18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Containerization</w:t>
            </w:r>
          </w:p>
        </w:tc>
        <w:tc>
          <w:tcPr>
            <w:tcW w:type="dxa" w:w="14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Docker + K8s</w:t>
            </w:r>
          </w:p>
        </w:tc>
        <w:tc>
          <w:tcPr>
            <w:tcW w:type="dxa" w:w="18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Production deployment</w:t>
            </w:r>
          </w:p>
        </w:tc>
        <w:tc>
          <w:tcPr>
            <w:tcW w:type="dxa" w:w="216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Industry standard for ML microservices</w:t>
            </w:r>
          </w:p>
        </w:tc>
        <w:tc>
          <w:tcPr>
            <w:tcW w:type="dxa" w:w="22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AWS Lambda</w:t>
            </w:r>
          </w:p>
        </w:tc>
      </w:tr>
    </w:tbl>
    <w:p>
      <w:pPr>
        <w:spacing w:before="0" w:after="120"/>
      </w:pPr>
      <w:r>
        <w:t xml:space="preserve"/>
      </w:r>
    </w:p>
    <w:p>
      <w:r>
        <w:br w:type="page"/>
      </w:r>
    </w:p>
    <w:p>
      <w:pPr>
        <w:pStyle w:val="Heading1"/>
        <w:pBdr>
          <w:bottom w:val="single" w:color="2E7D32" w:sz="8" w:space="4"/>
        </w:pBdr>
        <w:spacing w:before="360" w:after="160"/>
      </w:pPr>
      <w:r>
        <w:rPr>
          <w:rFonts w:ascii="Arial" w:cs="Arial" w:eastAsia="Arial" w:hAnsi="Arial"/>
          <w:b/>
          <w:bCs/>
          <w:color w:val="1B5E20"/>
          <w:sz w:val="36"/>
          <w:szCs w:val="36"/>
        </w:rPr>
        <w:t xml:space="preserve">7. Feasibility Assessment</w:t>
      </w:r>
    </w:p>
    <w:p>
      <w:pPr>
        <w:pStyle w:val="Heading2"/>
        <w:spacing w:before="280" w:after="120"/>
      </w:pPr>
      <w:r>
        <w:rPr>
          <w:rFonts w:ascii="Arial" w:cs="Arial" w:eastAsia="Arial" w:hAnsi="Arial"/>
          <w:b/>
          <w:bCs/>
          <w:color w:val="2E7D32"/>
          <w:sz w:val="28"/>
          <w:szCs w:val="28"/>
        </w:rPr>
        <w:t xml:space="preserve">7.1 Technical Feasibility</w:t>
      </w:r>
    </w:p>
    <w:p>
      <w:pPr>
        <w:spacing w:before="80" w:after="160"/>
        <w:jc w:val="both"/>
      </w:pPr>
      <w:r>
        <w:rPr>
          <w:rFonts w:ascii="Arial" w:cs="Arial" w:eastAsia="Arial" w:hAnsi="Arial"/>
          <w:color w:val="333333"/>
          <w:sz w:val="22"/>
          <w:szCs w:val="22"/>
        </w:rPr>
        <w:t xml:space="preserve">The selected XGBoost solution is technically feasible across all dimensions:</w:t>
      </w:r>
    </w:p>
    <w:p>
      <w:pPr>
        <w:pStyle w:val="ListParagraph"/>
        <w:numPr>
          <w:ilvl w:val="0"/>
          <w:numId w:val="2"/>
        </w:numPr>
        <w:spacing w:before="60" w:after="60"/>
      </w:pPr>
      <w:r>
        <w:rPr>
          <w:rFonts w:ascii="Arial" w:cs="Arial" w:eastAsia="Arial" w:hAnsi="Arial"/>
          <w:color w:val="333333"/>
          <w:sz w:val="22"/>
          <w:szCs w:val="22"/>
        </w:rPr>
        <w:t xml:space="preserve">Dataset Availability: The Kaggle ULB dataset (284,807 transactions) is publicly available with no license restrictions, and is widely used in academic research providing benchmark comparisons</w:t>
      </w:r>
    </w:p>
    <w:p>
      <w:pPr>
        <w:pStyle w:val="ListParagraph"/>
        <w:numPr>
          <w:ilvl w:val="0"/>
          <w:numId w:val="2"/>
        </w:numPr>
        <w:spacing w:before="60" w:after="60"/>
      </w:pPr>
      <w:r>
        <w:rPr>
          <w:rFonts w:ascii="Arial" w:cs="Arial" w:eastAsia="Arial" w:hAnsi="Arial"/>
          <w:color w:val="333333"/>
          <w:sz w:val="22"/>
          <w:szCs w:val="22"/>
        </w:rPr>
        <w:t xml:space="preserve">Compute Requirements: XGBoost training completes in under 5 minutes on a standard laptop (Intel i7, 16GB RAM). No GPU required for training or inference</w:t>
      </w:r>
    </w:p>
    <w:p>
      <w:pPr>
        <w:pStyle w:val="ListParagraph"/>
        <w:numPr>
          <w:ilvl w:val="0"/>
          <w:numId w:val="2"/>
        </w:numPr>
        <w:spacing w:before="60" w:after="60"/>
      </w:pPr>
      <w:r>
        <w:rPr>
          <w:rFonts w:ascii="Arial" w:cs="Arial" w:eastAsia="Arial" w:hAnsi="Arial"/>
          <w:color w:val="333333"/>
          <w:sz w:val="22"/>
          <w:szCs w:val="22"/>
        </w:rPr>
        <w:t xml:space="preserve">Latency: XGBoost inference achieves 1–5ms per transaction on CPU — well within the 300ms real-time requirement</w:t>
      </w:r>
    </w:p>
    <w:p>
      <w:pPr>
        <w:pStyle w:val="ListParagraph"/>
        <w:numPr>
          <w:ilvl w:val="0"/>
          <w:numId w:val="2"/>
        </w:numPr>
        <w:spacing w:before="60" w:after="60"/>
      </w:pPr>
      <w:r>
        <w:rPr>
          <w:rFonts w:ascii="Arial" w:cs="Arial" w:eastAsia="Arial" w:hAnsi="Arial"/>
          <w:color w:val="333333"/>
          <w:sz w:val="22"/>
          <w:szCs w:val="22"/>
        </w:rPr>
        <w:t xml:space="preserve">Integration: The model exports as a pkl file importable by any Python application. REST API via FastAPI adds minimal overhead (~2ms)</w:t>
      </w:r>
    </w:p>
    <w:p>
      <w:pPr>
        <w:pStyle w:val="ListParagraph"/>
        <w:numPr>
          <w:ilvl w:val="0"/>
          <w:numId w:val="2"/>
        </w:numPr>
        <w:spacing w:before="60" w:after="60"/>
      </w:pPr>
      <w:r>
        <w:rPr>
          <w:rFonts w:ascii="Arial" w:cs="Arial" w:eastAsia="Arial" w:hAnsi="Arial"/>
          <w:color w:val="333333"/>
          <w:sz w:val="22"/>
          <w:szCs w:val="22"/>
        </w:rPr>
        <w:t xml:space="preserve">Retraining: Monthly retraining on new data takes under 10 minutes. Rolling window retraining strategy prevents catastrophic forgetting</w:t>
      </w:r>
    </w:p>
    <w:p>
      <w:pPr>
        <w:pStyle w:val="Heading2"/>
        <w:spacing w:before="280" w:after="120"/>
      </w:pPr>
      <w:r>
        <w:rPr>
          <w:rFonts w:ascii="Arial" w:cs="Arial" w:eastAsia="Arial" w:hAnsi="Arial"/>
          <w:b/>
          <w:bCs/>
          <w:color w:val="2E7D32"/>
          <w:sz w:val="28"/>
          <w:szCs w:val="28"/>
        </w:rPr>
        <w:t xml:space="preserve">7.2 Operational Feasibility</w:t>
      </w:r>
    </w:p>
    <w:p>
      <w:pPr>
        <w:spacing w:before="80" w:after="160"/>
        <w:jc w:val="both"/>
      </w:pPr>
      <w:r>
        <w:rPr>
          <w:rFonts w:ascii="Arial" w:cs="Arial" w:eastAsia="Arial" w:hAnsi="Arial"/>
          <w:color w:val="333333"/>
          <w:sz w:val="22"/>
          <w:szCs w:val="22"/>
        </w:rPr>
        <w:t xml:space="preserve">The system can be operated by a small team with the following composition:</w:t>
      </w:r>
    </w:p>
    <w:p>
      <w:pPr>
        <w:pStyle w:val="ListParagraph"/>
        <w:numPr>
          <w:ilvl w:val="0"/>
          <w:numId w:val="2"/>
        </w:numPr>
        <w:spacing w:before="60" w:after="60"/>
      </w:pPr>
      <w:r>
        <w:rPr>
          <w:rFonts w:ascii="Arial" w:cs="Arial" w:eastAsia="Arial" w:hAnsi="Arial"/>
          <w:color w:val="333333"/>
          <w:sz w:val="22"/>
          <w:szCs w:val="22"/>
        </w:rPr>
        <w:t xml:space="preserve">1 ML Engineer: Model maintenance, retraining, performance monitoring</w:t>
      </w:r>
    </w:p>
    <w:p>
      <w:pPr>
        <w:pStyle w:val="ListParagraph"/>
        <w:numPr>
          <w:ilvl w:val="0"/>
          <w:numId w:val="2"/>
        </w:numPr>
        <w:spacing w:before="60" w:after="60"/>
      </w:pPr>
      <w:r>
        <w:rPr>
          <w:rFonts w:ascii="Arial" w:cs="Arial" w:eastAsia="Arial" w:hAnsi="Arial"/>
          <w:color w:val="333333"/>
          <w:sz w:val="22"/>
          <w:szCs w:val="22"/>
        </w:rPr>
        <w:t xml:space="preserve">1 Data Engineer: Feature pipeline maintenance, data quality monitoring</w:t>
      </w:r>
    </w:p>
    <w:p>
      <w:pPr>
        <w:pStyle w:val="ListParagraph"/>
        <w:numPr>
          <w:ilvl w:val="0"/>
          <w:numId w:val="2"/>
        </w:numPr>
        <w:spacing w:before="60" w:after="60"/>
      </w:pPr>
      <w:r>
        <w:rPr>
          <w:rFonts w:ascii="Arial" w:cs="Arial" w:eastAsia="Arial" w:hAnsi="Arial"/>
          <w:color w:val="333333"/>
          <w:sz w:val="22"/>
          <w:szCs w:val="22"/>
        </w:rPr>
        <w:t xml:space="preserve">0.5 DevOps: Infrastructure, deployment, CI/CD pipeline</w:t>
      </w:r>
    </w:p>
    <w:p>
      <w:pPr>
        <w:pStyle w:val="ListParagraph"/>
        <w:numPr>
          <w:ilvl w:val="0"/>
          <w:numId w:val="2"/>
        </w:numPr>
        <w:spacing w:before="60" w:after="60"/>
      </w:pPr>
      <w:r>
        <w:rPr>
          <w:rFonts w:ascii="Arial" w:cs="Arial" w:eastAsia="Arial" w:hAnsi="Arial"/>
          <w:color w:val="333333"/>
          <w:sz w:val="22"/>
          <w:szCs w:val="22"/>
        </w:rPr>
        <w:t xml:space="preserve">0.25 Analyst: Fraud rule validation, SHAP explanation review</w:t>
      </w:r>
    </w:p>
    <w:p>
      <w:pPr>
        <w:spacing w:before="80" w:after="160"/>
        <w:jc w:val="both"/>
      </w:pPr>
      <w:r>
        <w:rPr>
          <w:rFonts w:ascii="Arial" w:cs="Arial" w:eastAsia="Arial" w:hAnsi="Arial"/>
          <w:color w:val="333333"/>
          <w:sz w:val="22"/>
          <w:szCs w:val="22"/>
        </w:rPr>
        <w:t xml:space="preserve">Monthly operational overhead is estimated at 20 person-hours for standard operations, rising to 40 hours during retraining cycles.</w:t>
      </w:r>
    </w:p>
    <w:p>
      <w:pPr>
        <w:pStyle w:val="Heading2"/>
        <w:spacing w:before="280" w:after="120"/>
      </w:pPr>
      <w:r>
        <w:rPr>
          <w:rFonts w:ascii="Arial" w:cs="Arial" w:eastAsia="Arial" w:hAnsi="Arial"/>
          <w:b/>
          <w:bCs/>
          <w:color w:val="2E7D32"/>
          <w:sz w:val="28"/>
          <w:szCs w:val="28"/>
        </w:rPr>
        <w:t xml:space="preserve">7.3 Financial Feasibility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Cost Category</w:t>
            </w:r>
          </w:p>
        </w:tc>
        <w:tc>
          <w:tcPr>
            <w:tcW w:type="dxa" w:w="200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Annual Cost (€)</w:t>
            </w:r>
          </w:p>
        </w:tc>
        <w:tc>
          <w:tcPr>
            <w:tcW w:type="dxa" w:w="3860"/>
            <w:tcBorders>
              <w:top w:val="single" w:color="9E9E9E" w:sz="4"/>
              <w:left w:val="single" w:color="9E9E9E" w:sz="4"/>
              <w:bottom w:val="single" w:color="9E9E9E" w:sz="4"/>
              <w:right w:val="single" w:color="9E9E9E" w:sz="4"/>
            </w:tcBorders>
            <w:shd w:fill="C8E6C9" w:val="clear"/>
            <w:tcMar>
              <w:top w:type="dxa" w:w="100"/>
              <w:left w:type="dxa" w:w="120"/>
              <w:bottom w:type="dxa" w:w="100"/>
              <w:right w:type="dxa" w:w="120"/>
            </w:tcMar>
          </w:tcPr>
          <w:p>
            <w:pPr>
              <w:jc w:val="center"/>
            </w:pPr>
            <w:r>
              <w:rPr>
                <w:rFonts w:ascii="Arial" w:cs="Arial" w:eastAsia="Arial" w:hAnsi="Arial"/>
                <w:b/>
                <w:bCs/>
                <w:color w:val="1B5E20"/>
                <w:sz w:val="20"/>
                <w:szCs w:val="20"/>
              </w:rPr>
              <w:t xml:space="preserve">Notes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ML Engineer (1.0 FTE)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€95,000</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Training, optimization, monitoring</w:t>
            </w:r>
          </w:p>
        </w:tc>
      </w:tr>
      <w:tr>
        <w:tc>
          <w:tcPr>
            <w:tcW w:type="dxa" w:w="35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Data Engineer (1.0 FTE)</w:t>
            </w:r>
          </w:p>
        </w:tc>
        <w:tc>
          <w:tcPr>
            <w:tcW w:type="dxa" w:w="2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€85,000</w:t>
            </w:r>
          </w:p>
        </w:tc>
        <w:tc>
          <w:tcPr>
            <w:tcW w:type="dxa" w:w="386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Pipeline, feature store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DevOps (0.5 FTE)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€40,000</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Infrastructure, deployment</w:t>
            </w:r>
          </w:p>
        </w:tc>
      </w:tr>
      <w:tr>
        <w:tc>
          <w:tcPr>
            <w:tcW w:type="dxa" w:w="35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Cloud Infrastructure (AWS)</w:t>
            </w:r>
          </w:p>
        </w:tc>
        <w:tc>
          <w:tcPr>
            <w:tcW w:type="dxa" w:w="2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€60,000</w:t>
            </w:r>
          </w:p>
        </w:tc>
        <w:tc>
          <w:tcPr>
            <w:tcW w:type="dxa" w:w="386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EC2, S3, RDS, EKS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MLflow + Monitoring Tools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€12,000</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SaaS tier for experiment tracking</w:t>
            </w:r>
          </w:p>
        </w:tc>
      </w:tr>
      <w:tr>
        <w:tc>
          <w:tcPr>
            <w:tcW w:type="dxa" w:w="35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r>
              <w:rPr>
                <w:rFonts w:ascii="Arial" w:cs="Arial" w:eastAsia="Arial" w:hAnsi="Arial"/>
                <w:b/>
                <w:bCs/>
                <w:color w:val="1B5E20"/>
                <w:sz w:val="20"/>
                <w:szCs w:val="20"/>
              </w:rPr>
              <w:t xml:space="preserve">Contingency (10%)</w:t>
            </w:r>
          </w:p>
        </w:tc>
        <w:tc>
          <w:tcPr>
            <w:tcW w:type="dxa" w:w="200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center"/>
            </w:pPr>
            <w:r>
              <w:rPr>
                <w:rFonts w:ascii="Arial" w:cs="Arial" w:eastAsia="Arial" w:hAnsi="Arial"/>
                <w:color w:val="333333"/>
                <w:sz w:val="20"/>
                <w:szCs w:val="20"/>
              </w:rPr>
              <w:t xml:space="preserve">€29,200</w:t>
            </w:r>
          </w:p>
        </w:tc>
        <w:tc>
          <w:tcPr>
            <w:tcW w:type="dxa" w:w="3860"/>
            <w:tcBorders>
              <w:top w:val="single" w:color="CCCCCC" w:sz="4"/>
              <w:left w:val="single" w:color="CCCCCC" w:sz="4"/>
              <w:bottom w:val="single" w:color="CCCCCC" w:sz="4"/>
              <w:right w:val="single" w:color="CCCCCC" w:sz="4"/>
            </w:tcBorders>
            <w:shd w:fill="F1F8E9" w:val="clear"/>
            <w:tcMar>
              <w:top w:type="dxa" w:w="80"/>
              <w:left w:type="dxa" w:w="120"/>
              <w:bottom w:type="dxa" w:w="80"/>
              <w:right w:type="dxa" w:w="120"/>
            </w:tcMar>
          </w:tcPr>
          <w:p>
            <w:pPr>
              <w:jc w:val="left"/>
            </w:pPr>
            <w:r>
              <w:rPr>
                <w:rFonts w:ascii="Arial" w:cs="Arial" w:eastAsia="Arial" w:hAnsi="Arial"/>
                <w:color w:val="333333"/>
                <w:sz w:val="20"/>
                <w:szCs w:val="20"/>
              </w:rPr>
              <w:t xml:space="preserve">Unknown unknowns buffer</w:t>
            </w:r>
          </w:p>
        </w:tc>
      </w:tr>
      <w:tr>
        <w:tc>
          <w:tcPr>
            <w:tcW w:type="dxa" w:w="35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TOTAL</w:t>
            </w:r>
          </w:p>
        </w:tc>
        <w:tc>
          <w:tcPr>
            <w:tcW w:type="dxa" w:w="20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center"/>
            </w:pPr>
            <w:r>
              <w:rPr>
                <w:rFonts w:ascii="Arial" w:cs="Arial" w:eastAsia="Arial" w:hAnsi="Arial"/>
                <w:color w:val="333333"/>
                <w:sz w:val="20"/>
                <w:szCs w:val="20"/>
              </w:rPr>
              <w:t xml:space="preserve">€321,200</w:t>
            </w:r>
          </w:p>
        </w:tc>
        <w:tc>
          <w:tcPr>
            <w:tcW w:type="dxa" w:w="38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left"/>
            </w:pPr>
            <w:r>
              <w:rPr>
                <w:rFonts w:ascii="Arial" w:cs="Arial" w:eastAsia="Arial" w:hAnsi="Arial"/>
                <w:color w:val="333333"/>
                <w:sz w:val="20"/>
                <w:szCs w:val="20"/>
              </w:rPr>
              <w:t xml:space="preserve">Annual operational cost</w:t>
            </w:r>
          </w:p>
        </w:tc>
      </w:tr>
    </w:tbl>
    <w:p>
      <w:pPr>
        <w:spacing w:before="0" w:after="120"/>
      </w:pPr>
      <w:r>
        <w:t xml:space="preserve"/>
      </w:r>
    </w:p>
    <w:p>
      <w:pPr>
        <w:spacing w:before="80" w:after="160"/>
        <w:jc w:val="both"/>
      </w:pPr>
      <w:r>
        <w:rPr>
          <w:rFonts w:ascii="Arial" w:cs="Arial" w:eastAsia="Arial" w:hAnsi="Arial"/>
          <w:color w:val="333333"/>
          <w:sz w:val="22"/>
          <w:szCs w:val="22"/>
        </w:rPr>
        <w:t xml:space="preserve">Compared to the conservative ROI estimate of €6.9M annual fraud savings, the €321K operational cost yields a 21:1 ROI — making this solution financially compelling.</w:t>
      </w:r>
    </w:p>
    <w:p>
      <w:r>
        <w:br w:type="page"/>
      </w:r>
    </w:p>
    <w:p>
      <w:pPr>
        <w:pStyle w:val="Heading1"/>
        <w:pBdr>
          <w:bottom w:val="single" w:color="2E7D32" w:sz="8" w:space="4"/>
        </w:pBdr>
        <w:spacing w:before="360" w:after="160"/>
      </w:pPr>
      <w:r>
        <w:rPr>
          <w:rFonts w:ascii="Arial" w:cs="Arial" w:eastAsia="Arial" w:hAnsi="Arial"/>
          <w:b/>
          <w:bCs/>
          <w:color w:val="1B5E20"/>
          <w:sz w:val="36"/>
          <w:szCs w:val="36"/>
        </w:rPr>
        <w:t xml:space="preserve">8. Ethical Considerations &amp; Regulatory Compliance</w:t>
      </w:r>
    </w:p>
    <w:p>
      <w:pPr>
        <w:pStyle w:val="Heading2"/>
        <w:spacing w:before="280" w:after="120"/>
      </w:pPr>
      <w:r>
        <w:rPr>
          <w:rFonts w:ascii="Arial" w:cs="Arial" w:eastAsia="Arial" w:hAnsi="Arial"/>
          <w:b/>
          <w:bCs/>
          <w:color w:val="2E7D32"/>
          <w:sz w:val="28"/>
          <w:szCs w:val="28"/>
        </w:rPr>
        <w:t xml:space="preserve">8.1 Regulatory Framework</w:t>
      </w:r>
    </w:p>
    <w:p>
      <w:pPr>
        <w:pStyle w:val="ListParagraph"/>
        <w:numPr>
          <w:ilvl w:val="0"/>
          <w:numId w:val="2"/>
        </w:numPr>
        <w:spacing w:before="60" w:after="60"/>
      </w:pPr>
      <w:r>
        <w:rPr>
          <w:rFonts w:ascii="Arial" w:cs="Arial" w:eastAsia="Arial" w:hAnsi="Arial"/>
          <w:color w:val="333333"/>
          <w:sz w:val="22"/>
          <w:szCs w:val="22"/>
        </w:rPr>
        <w:t xml:space="preserve">GDPR Article 22: Prohibits fully automated decisions with significant effects on individuals. Our system requires human review for high-risk fraud flags. SHAP explanations enable the 'right to explanation' when customers query declined transactions</w:t>
      </w:r>
    </w:p>
    <w:p>
      <w:pPr>
        <w:pStyle w:val="ListParagraph"/>
        <w:numPr>
          <w:ilvl w:val="0"/>
          <w:numId w:val="2"/>
        </w:numPr>
        <w:spacing w:before="60" w:after="60"/>
      </w:pPr>
      <w:r>
        <w:rPr>
          <w:rFonts w:ascii="Arial" w:cs="Arial" w:eastAsia="Arial" w:hAnsi="Arial"/>
          <w:color w:val="333333"/>
          <w:sz w:val="22"/>
          <w:szCs w:val="22"/>
        </w:rPr>
        <w:t xml:space="preserve">PCI-DSS (Payment Card Industry Data Security Standard): All transaction data must be encrypted at rest and in transit. PCA-transformed features in the ULB dataset satisfy anonymization requirements</w:t>
      </w:r>
    </w:p>
    <w:p>
      <w:pPr>
        <w:pStyle w:val="ListParagraph"/>
        <w:numPr>
          <w:ilvl w:val="0"/>
          <w:numId w:val="2"/>
        </w:numPr>
        <w:spacing w:before="60" w:after="60"/>
      </w:pPr>
      <w:r>
        <w:rPr>
          <w:rFonts w:ascii="Arial" w:cs="Arial" w:eastAsia="Arial" w:hAnsi="Arial"/>
          <w:color w:val="333333"/>
          <w:sz w:val="22"/>
          <w:szCs w:val="22"/>
        </w:rPr>
        <w:t xml:space="preserve">Basel III: Model risk management requires documented model validation, stress testing, and governance. Our MLflow experiment tracking and documented validation results satisfy these requirements</w:t>
      </w:r>
    </w:p>
    <w:p>
      <w:pPr>
        <w:pStyle w:val="ListParagraph"/>
        <w:numPr>
          <w:ilvl w:val="0"/>
          <w:numId w:val="2"/>
        </w:numPr>
        <w:spacing w:before="60" w:after="60"/>
      </w:pPr>
      <w:r>
        <w:rPr>
          <w:rFonts w:ascii="Arial" w:cs="Arial" w:eastAsia="Arial" w:hAnsi="Arial"/>
          <w:color w:val="333333"/>
          <w:sz w:val="22"/>
          <w:szCs w:val="22"/>
        </w:rPr>
        <w:t xml:space="preserve">Fair Lending (ECOA): Fraud models must not discriminate based on protected characteristics. Regular fairness audits comparing false positive rates across demographic groups are required</w:t>
      </w:r>
    </w:p>
    <w:p>
      <w:pPr>
        <w:pStyle w:val="Heading2"/>
        <w:spacing w:before="280" w:after="120"/>
      </w:pPr>
      <w:r>
        <w:rPr>
          <w:rFonts w:ascii="Arial" w:cs="Arial" w:eastAsia="Arial" w:hAnsi="Arial"/>
          <w:b/>
          <w:bCs/>
          <w:color w:val="2E7D32"/>
          <w:sz w:val="28"/>
          <w:szCs w:val="28"/>
        </w:rPr>
        <w:t xml:space="preserve">8.2 Bias and Fairness</w:t>
      </w:r>
    </w:p>
    <w:p>
      <w:pPr>
        <w:spacing w:before="80" w:after="160"/>
        <w:jc w:val="both"/>
      </w:pPr>
      <w:r>
        <w:rPr>
          <w:rFonts w:ascii="Arial" w:cs="Arial" w:eastAsia="Arial" w:hAnsi="Arial"/>
          <w:color w:val="333333"/>
          <w:sz w:val="22"/>
          <w:szCs w:val="22"/>
        </w:rPr>
        <w:t xml:space="preserve">A critical concern in fraud detection is disparate impact — higher false positive rates for certain demographic groups leading to legitimate transactions being declined. Mitigation strategies include:</w:t>
      </w:r>
    </w:p>
    <w:p>
      <w:pPr>
        <w:pStyle w:val="ListParagraph"/>
        <w:numPr>
          <w:ilvl w:val="0"/>
          <w:numId w:val="2"/>
        </w:numPr>
        <w:spacing w:before="60" w:after="60"/>
      </w:pPr>
      <w:r>
        <w:rPr>
          <w:rFonts w:ascii="Arial" w:cs="Arial" w:eastAsia="Arial" w:hAnsi="Arial"/>
          <w:color w:val="333333"/>
          <w:sz w:val="22"/>
          <w:szCs w:val="22"/>
        </w:rPr>
        <w:t xml:space="preserve">Regular disaggregated evaluation: Monthly analysis of FP rates by geographic region, transaction type, and merchant category</w:t>
      </w:r>
    </w:p>
    <w:p>
      <w:pPr>
        <w:pStyle w:val="ListParagraph"/>
        <w:numPr>
          <w:ilvl w:val="0"/>
          <w:numId w:val="2"/>
        </w:numPr>
        <w:spacing w:before="60" w:after="60"/>
      </w:pPr>
      <w:r>
        <w:rPr>
          <w:rFonts w:ascii="Arial" w:cs="Arial" w:eastAsia="Arial" w:hAnsi="Arial"/>
          <w:color w:val="333333"/>
          <w:sz w:val="22"/>
          <w:szCs w:val="22"/>
        </w:rPr>
        <w:t xml:space="preserve">Fairness metrics: Monitor Equal Opportunity Difference (EOD) and Demographic Parity across customer segments</w:t>
      </w:r>
    </w:p>
    <w:p>
      <w:pPr>
        <w:pStyle w:val="ListParagraph"/>
        <w:numPr>
          <w:ilvl w:val="0"/>
          <w:numId w:val="2"/>
        </w:numPr>
        <w:spacing w:before="60" w:after="60"/>
      </w:pPr>
      <w:r>
        <w:rPr>
          <w:rFonts w:ascii="Arial" w:cs="Arial" w:eastAsia="Arial" w:hAnsi="Arial"/>
          <w:color w:val="333333"/>
          <w:sz w:val="22"/>
          <w:szCs w:val="22"/>
        </w:rPr>
        <w:t xml:space="preserve">Human review queue: All transactions with fraud probability 0.3–0.7 (uncertain zone) routed to human analysts rather than automatic decline</w:t>
      </w:r>
    </w:p>
    <w:p>
      <w:pPr>
        <w:pStyle w:val="ListParagraph"/>
        <w:numPr>
          <w:ilvl w:val="0"/>
          <w:numId w:val="2"/>
        </w:numPr>
        <w:spacing w:before="60" w:after="60"/>
      </w:pPr>
      <w:r>
        <w:rPr>
          <w:rFonts w:ascii="Arial" w:cs="Arial" w:eastAsia="Arial" w:hAnsi="Arial"/>
          <w:color w:val="333333"/>
          <w:sz w:val="22"/>
          <w:szCs w:val="22"/>
        </w:rPr>
        <w:t xml:space="preserve">Feedback loop: Customer dispute data used to identify systematically misclassified transaction patterns</w:t>
      </w:r>
    </w:p>
    <w:p>
      <w:pPr>
        <w:pStyle w:val="Heading2"/>
        <w:spacing w:before="280" w:after="120"/>
      </w:pPr>
      <w:r>
        <w:rPr>
          <w:rFonts w:ascii="Arial" w:cs="Arial" w:eastAsia="Arial" w:hAnsi="Arial"/>
          <w:b/>
          <w:bCs/>
          <w:color w:val="2E7D32"/>
          <w:sz w:val="28"/>
          <w:szCs w:val="28"/>
        </w:rPr>
        <w:t xml:space="preserve">8.3 Privacy and Data Governance</w:t>
      </w:r>
    </w:p>
    <w:p>
      <w:pPr>
        <w:pStyle w:val="ListParagraph"/>
        <w:numPr>
          <w:ilvl w:val="0"/>
          <w:numId w:val="2"/>
        </w:numPr>
        <w:spacing w:before="60" w:after="60"/>
      </w:pPr>
      <w:r>
        <w:rPr>
          <w:rFonts w:ascii="Arial" w:cs="Arial" w:eastAsia="Arial" w:hAnsi="Arial"/>
          <w:color w:val="333333"/>
          <w:sz w:val="22"/>
          <w:szCs w:val="22"/>
        </w:rPr>
        <w:t xml:space="preserve">The ULB dataset uses PCA transformation to anonymize all sensitive features — no PII is present in V1-V28 features</w:t>
      </w:r>
    </w:p>
    <w:p>
      <w:pPr>
        <w:pStyle w:val="ListParagraph"/>
        <w:numPr>
          <w:ilvl w:val="0"/>
          <w:numId w:val="2"/>
        </w:numPr>
        <w:spacing w:before="60" w:after="60"/>
      </w:pPr>
      <w:r>
        <w:rPr>
          <w:rFonts w:ascii="Arial" w:cs="Arial" w:eastAsia="Arial" w:hAnsi="Arial"/>
          <w:color w:val="333333"/>
          <w:sz w:val="22"/>
          <w:szCs w:val="22"/>
        </w:rPr>
        <w:t xml:space="preserve">Transaction Amount and Time are preserved for legitimate analytical purposes</w:t>
      </w:r>
    </w:p>
    <w:p>
      <w:pPr>
        <w:pStyle w:val="ListParagraph"/>
        <w:numPr>
          <w:ilvl w:val="0"/>
          <w:numId w:val="2"/>
        </w:numPr>
        <w:spacing w:before="60" w:after="60"/>
      </w:pPr>
      <w:r>
        <w:rPr>
          <w:rFonts w:ascii="Arial" w:cs="Arial" w:eastAsia="Arial" w:hAnsi="Arial"/>
          <w:color w:val="333333"/>
          <w:sz w:val="22"/>
          <w:szCs w:val="22"/>
        </w:rPr>
        <w:t xml:space="preserve">Production deployment must implement differential privacy for model training to prevent membership inference attacks</w:t>
      </w:r>
    </w:p>
    <w:p>
      <w:pPr>
        <w:pStyle w:val="ListParagraph"/>
        <w:numPr>
          <w:ilvl w:val="0"/>
          <w:numId w:val="2"/>
        </w:numPr>
        <w:spacing w:before="60" w:after="60"/>
      </w:pPr>
      <w:r>
        <w:rPr>
          <w:rFonts w:ascii="Arial" w:cs="Arial" w:eastAsia="Arial" w:hAnsi="Arial"/>
          <w:color w:val="333333"/>
          <w:sz w:val="22"/>
          <w:szCs w:val="22"/>
        </w:rPr>
        <w:t xml:space="preserve">Model weights and SHAP values must be treated as confidential — they can potentially reveal information about the training data distribution</w:t>
      </w:r>
    </w:p>
    <w:p>
      <w:r>
        <w:br w:type="page"/>
      </w:r>
    </w:p>
    <w:p>
      <w:pPr>
        <w:pStyle w:val="Heading1"/>
        <w:pBdr>
          <w:bottom w:val="single" w:color="2E7D32" w:sz="8" w:space="4"/>
        </w:pBdr>
        <w:spacing w:before="360" w:after="160"/>
      </w:pPr>
      <w:r>
        <w:rPr>
          <w:rFonts w:ascii="Arial" w:cs="Arial" w:eastAsia="Arial" w:hAnsi="Arial"/>
          <w:b/>
          <w:bCs/>
          <w:color w:val="1B5E20"/>
          <w:sz w:val="36"/>
          <w:szCs w:val="36"/>
        </w:rPr>
        <w:t xml:space="preserve">9. References &amp; Academic Citations</w:t>
      </w:r>
    </w:p>
    <w:p>
      <w:pPr>
        <w:pStyle w:val="ListParagraph"/>
        <w:numPr>
          <w:ilvl w:val="0"/>
          <w:numId w:val="3"/>
        </w:numPr>
        <w:spacing w:before="80" w:after="80"/>
      </w:pPr>
      <w:r>
        <w:rPr>
          <w:rFonts w:ascii="Arial" w:cs="Arial" w:eastAsia="Arial" w:hAnsi="Arial"/>
          <w:color w:val="333333"/>
          <w:sz w:val="22"/>
          <w:szCs w:val="22"/>
        </w:rPr>
        <w:t xml:space="preserve">Dal Pozzolo, A., Caelen, O., Johnson, R. A., &amp; Bontempi, G. (2015). Calibrating probability with undersampling for unbalanced classification. In IEEE Symposium Series on Computational Intelligence (SSCI 2015), pp. 159–166. IEEE.</w:t>
      </w:r>
    </w:p>
    <w:p>
      <w:pPr>
        <w:pStyle w:val="ListParagraph"/>
        <w:numPr>
          <w:ilvl w:val="0"/>
          <w:numId w:val="3"/>
        </w:numPr>
        <w:spacing w:before="80" w:after="80"/>
      </w:pPr>
      <w:r>
        <w:rPr>
          <w:rFonts w:ascii="Arial" w:cs="Arial" w:eastAsia="Arial" w:hAnsi="Arial"/>
          <w:color w:val="333333"/>
          <w:sz w:val="22"/>
          <w:szCs w:val="22"/>
        </w:rPr>
        <w:t xml:space="preserve">Dal Pozzolo, A. (2017). Adaptive machine learning for credit card fraud detection [Doctoral dissertation]. Universite Libre de Bruxelles.</w:t>
      </w:r>
    </w:p>
    <w:p>
      <w:pPr>
        <w:pStyle w:val="ListParagraph"/>
        <w:numPr>
          <w:ilvl w:val="0"/>
          <w:numId w:val="3"/>
        </w:numPr>
        <w:spacing w:before="80" w:after="80"/>
      </w:pPr>
      <w:r>
        <w:rPr>
          <w:rFonts w:ascii="Arial" w:cs="Arial" w:eastAsia="Arial" w:hAnsi="Arial"/>
          <w:color w:val="333333"/>
          <w:sz w:val="22"/>
          <w:szCs w:val="22"/>
        </w:rPr>
        <w:t xml:space="preserve">Chawla, N. V., Bowyer, K. W., Hall, L. O., &amp; Kegelmeyer, W. P. (2002). SMOTE: Synthetic minority over-sampling technique. Journal of Artificial Intelligence Research, 16, 321–357.</w:t>
      </w:r>
    </w:p>
    <w:p>
      <w:pPr>
        <w:pStyle w:val="ListParagraph"/>
        <w:numPr>
          <w:ilvl w:val="0"/>
          <w:numId w:val="3"/>
        </w:numPr>
        <w:spacing w:before="80" w:after="80"/>
      </w:pPr>
      <w:r>
        <w:rPr>
          <w:rFonts w:ascii="Arial" w:cs="Arial" w:eastAsia="Arial" w:hAnsi="Arial"/>
          <w:color w:val="333333"/>
          <w:sz w:val="22"/>
          <w:szCs w:val="22"/>
        </w:rPr>
        <w:t xml:space="preserve">Branco, P., Torgo, L., &amp; Ribeiro, R. P. (2016). A survey of predictive modeling on imbalanced domains. ACM Computing Surveys (CSUR), 49(2), 1–50.</w:t>
      </w:r>
    </w:p>
    <w:p>
      <w:pPr>
        <w:pStyle w:val="ListParagraph"/>
        <w:numPr>
          <w:ilvl w:val="0"/>
          <w:numId w:val="3"/>
        </w:numPr>
        <w:spacing w:before="80" w:after="80"/>
      </w:pPr>
      <w:r>
        <w:rPr>
          <w:rFonts w:ascii="Arial" w:cs="Arial" w:eastAsia="Arial" w:hAnsi="Arial"/>
          <w:color w:val="333333"/>
          <w:sz w:val="22"/>
          <w:szCs w:val="22"/>
        </w:rPr>
        <w:t xml:space="preserve">Chen, T., &amp; Guestrin, C. (2016). XGBoost: A scalable tree boosting system. In Proceedings of the 22nd ACM SIGKDD International Conference on Knowledge Discovery and Data Mining (pp. 785–794). ACM.</w:t>
      </w:r>
    </w:p>
    <w:p>
      <w:pPr>
        <w:pStyle w:val="ListParagraph"/>
        <w:numPr>
          <w:ilvl w:val="0"/>
          <w:numId w:val="3"/>
        </w:numPr>
        <w:spacing w:before="80" w:after="80"/>
      </w:pPr>
      <w:r>
        <w:rPr>
          <w:rFonts w:ascii="Arial" w:cs="Arial" w:eastAsia="Arial" w:hAnsi="Arial"/>
          <w:color w:val="333333"/>
          <w:sz w:val="22"/>
          <w:szCs w:val="22"/>
        </w:rPr>
        <w:t xml:space="preserve">Lundberg, S. M., &amp; Lee, S. I. (2017). A unified approach to interpreting model predictions. In Advances in Neural Information Processing Systems (NeurIPS), 30.</w:t>
      </w:r>
    </w:p>
    <w:p>
      <w:pPr>
        <w:pStyle w:val="ListParagraph"/>
        <w:numPr>
          <w:ilvl w:val="0"/>
          <w:numId w:val="3"/>
        </w:numPr>
        <w:spacing w:before="80" w:after="80"/>
      </w:pPr>
      <w:r>
        <w:rPr>
          <w:rFonts w:ascii="Arial" w:cs="Arial" w:eastAsia="Arial" w:hAnsi="Arial"/>
          <w:color w:val="333333"/>
          <w:sz w:val="22"/>
          <w:szCs w:val="22"/>
        </w:rPr>
        <w:t xml:space="preserve">Lundberg, S. M., Erion, G. G., &amp; Lee, S. I. (2018). Consistent individualized feature attribution for tree ensembles. arXiv preprint arXiv:1802.03888.</w:t>
      </w:r>
    </w:p>
    <w:p>
      <w:pPr>
        <w:pStyle w:val="ListParagraph"/>
        <w:numPr>
          <w:ilvl w:val="0"/>
          <w:numId w:val="3"/>
        </w:numPr>
        <w:spacing w:before="80" w:after="80"/>
      </w:pPr>
      <w:r>
        <w:rPr>
          <w:rFonts w:ascii="Arial" w:cs="Arial" w:eastAsia="Arial" w:hAnsi="Arial"/>
          <w:color w:val="333333"/>
          <w:sz w:val="22"/>
          <w:szCs w:val="22"/>
        </w:rPr>
        <w:t xml:space="preserve">Breiman, L. (2001). Random forests. Machine Learning, 45(1), 5–32.</w:t>
      </w:r>
    </w:p>
    <w:p>
      <w:pPr>
        <w:pStyle w:val="ListParagraph"/>
        <w:numPr>
          <w:ilvl w:val="0"/>
          <w:numId w:val="3"/>
        </w:numPr>
        <w:spacing w:before="80" w:after="80"/>
      </w:pPr>
      <w:r>
        <w:rPr>
          <w:rFonts w:ascii="Arial" w:cs="Arial" w:eastAsia="Arial" w:hAnsi="Arial"/>
          <w:color w:val="333333"/>
          <w:sz w:val="22"/>
          <w:szCs w:val="22"/>
        </w:rPr>
        <w:t xml:space="preserve">LexisNexis Risk Solutions. (2023). True Cost of Fraud Study: Financial Services &amp; Lending. Annual Industry Report.</w:t>
      </w:r>
    </w:p>
    <w:p>
      <w:pPr>
        <w:pStyle w:val="ListParagraph"/>
        <w:numPr>
          <w:ilvl w:val="0"/>
          <w:numId w:val="3"/>
        </w:numPr>
        <w:spacing w:before="80" w:after="80"/>
      </w:pPr>
      <w:r>
        <w:rPr>
          <w:rFonts w:ascii="Arial" w:cs="Arial" w:eastAsia="Arial" w:hAnsi="Arial"/>
          <w:color w:val="333333"/>
          <w:sz w:val="22"/>
          <w:szCs w:val="22"/>
        </w:rPr>
        <w:t xml:space="preserve">Stripe Inc. (2021). Radar: Machine Learning at Scale for Payments. Engineering Technical Report.</w:t>
      </w:r>
    </w:p>
    <w:p>
      <w:pPr>
        <w:spacing w:before="0" w:after="240"/>
      </w:pPr>
      <w:r>
        <w:t xml:space="preserve"/>
      </w:r>
    </w:p>
    <w:p>
      <w:pPr>
        <w:jc w:val="center"/>
      </w:pPr>
      <w:r>
        <w:rPr>
          <w:rFonts w:ascii="Arial" w:cs="Arial" w:eastAsia="Arial" w:hAnsi="Arial"/>
          <w:b/>
          <w:bCs/>
          <w:i/>
          <w:iCs/>
          <w:color w:val="2E7D32"/>
          <w:sz w:val="22"/>
          <w:szCs w:val="22"/>
        </w:rPr>
        <w:t xml:space="preserve">— End of AI Solution Research Report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pBdr>
      <w:spacing w:before="120"/>
    </w:pPr>
    <w:r>
      <w:rPr>
        <w:rFonts w:ascii="Arial" w:cs="Arial" w:eastAsia="Arial" w:hAnsi="Arial"/>
        <w:color w:val="888888"/>
        <w:sz w:val="18"/>
        <w:szCs w:val="18"/>
      </w:rPr>
      <w:t xml:space="preserve">Confidential  |  AI Solution Research  |  Page </w:t>
    </w:r>
    <w:r>
      <w:rPr>
        <w:rFonts w:ascii="Arial" w:cs="Arial" w:eastAsia="Arial" w:hAnsi="Arial"/>
        <w:color w:val="2E7D32"/>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pBdr>
      <w:spacing w:after="120"/>
    </w:pPr>
    <w:r>
      <w:rPr>
        <w:rFonts w:ascii="Arial" w:cs="Arial" w:eastAsia="Arial" w:hAnsi="Arial"/>
        <w:color w:val="888888"/>
        <w:sz w:val="18"/>
        <w:szCs w:val="18"/>
      </w:rPr>
      <w:t xml:space="preserve">AI Solution Research Report  |  Credit Card Fraud Detection  |  AI/ML Internship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5E20"/>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2026-03-04T07:17:19.888Z</dcterms:created>
  <dcterms:modified xsi:type="dcterms:W3CDTF">2026-03-04T07:17:19.889Z</dcterms:modified>
</cp:coreProperties>
</file>

<file path=docProps/custom.xml><?xml version="1.0" encoding="utf-8"?>
<Properties xmlns="http://schemas.openxmlformats.org/officeDocument/2006/custom-properties" xmlns:vt="http://schemas.openxmlformats.org/officeDocument/2006/docPropsVTypes"/>
</file>