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565C0"/>
          <w:sz w:val="52"/>
          <w:szCs w:val="52"/>
        </w:rPr>
        <w:t xml:space="preserve">CREDIT CARD FRAUD DETECTION</w:t>
      </w:r>
    </w:p>
    <w:p>
      <w:pPr>
        <w:spacing w:after="200"/>
        <w:jc w:val="center"/>
      </w:pPr>
      <w:r>
        <w:rPr>
          <w:rFonts w:ascii="Arial" w:cs="Arial" w:eastAsia="Arial" w:hAnsi="Arial"/>
          <w:color w:val="1976D2"/>
          <w:sz w:val="36"/>
          <w:szCs w:val="36"/>
        </w:rPr>
        <w:t xml:space="preserve">Case Study Analysis Report</w:t>
      </w:r>
    </w:p>
    <w:p>
      <w:pPr>
        <w:spacing w:after="200"/>
        <w:jc w:val="center"/>
      </w:pPr>
      <w:r>
        <w:rPr>
          <w:rFonts w:ascii="Arial" w:cs="Arial" w:eastAsia="Arial" w:hAnsi="Arial"/>
          <w:color w:val="666666"/>
          <w:sz w:val="24"/>
          <w:szCs w:val="24"/>
        </w:rPr>
        <w:t xml:space="preserve">AI &amp; ML Internship | Phase 1 Report</w:t>
      </w:r>
    </w:p>
    <w:p>
      <w:pPr>
        <w:spacing w:after="200"/>
        <w:jc w:val="center"/>
      </w:pPr>
      <w:r>
        <w:rPr>
          <w:rFonts w:ascii="Arial" w:cs="Arial" w:eastAsia="Arial" w:hAnsi="Arial"/>
          <w:color w:val="666666"/>
          <w:sz w:val="22"/>
          <w:szCs w:val="22"/>
        </w:rPr>
        <w:t xml:space="preserve">February–March 2026</w:t>
      </w:r>
    </w:p>
    <w:p>
      <w:r>
        <w:br w:type="page"/>
      </w:r>
    </w:p>
    <w:p>
      <w:pPr>
        <w:pStyle w:val="Heading1"/>
      </w:pPr>
      <w:r>
        <w:rPr>
          <w:rFonts w:ascii="Arial" w:cs="Arial" w:eastAsia="Arial" w:hAnsi="Arial"/>
          <w:b/>
          <w:bCs/>
          <w:color w:val="1565C0"/>
          <w:sz w:val="32"/>
          <w:szCs w:val="32"/>
        </w:rPr>
        <w:t xml:space="preserve">1. Executive Summary</w:t>
      </w:r>
    </w:p>
    <w:p>
      <w:pPr>
        <w:spacing w:after="160"/>
      </w:pPr>
      <w:r>
        <w:rPr>
          <w:rFonts w:ascii="Arial" w:cs="Arial" w:eastAsia="Arial" w:hAnsi="Arial"/>
          <w:sz w:val="22"/>
          <w:szCs w:val="22"/>
        </w:rPr>
        <w:t xml:space="preserve">Credit card fraud represents one of the most significant and growing financial threats in the digital economy. This report presents a comprehensive case study analysis of applying Artificial Intelligence and Machine Learning solutions to detect fraudulent transactions in real time. The study focuses on the financial services domain, specifically targeting the challenges faced by banks, payment processors, and fintech companies in protecting cardholders while maintaining seamless transaction experiences.</w:t>
      </w:r>
    </w:p>
    <w:p>
      <w:pPr>
        <w:spacing w:after="200"/>
      </w:pPr>
      <w:r>
        <w:t xml:space="preserve"/>
      </w:r>
    </w:p>
    <w:p>
      <w:pPr>
        <w:spacing w:after="160"/>
      </w:pPr>
      <w:r>
        <w:rPr>
          <w:rFonts w:ascii="Arial" w:cs="Arial" w:eastAsia="Arial" w:hAnsi="Arial"/>
          <w:sz w:val="22"/>
          <w:szCs w:val="22"/>
        </w:rPr>
        <w:t xml:space="preserve">The global card fraud losses reached an estimated $32.34 billion in 2023 according to the Nilson Report, and are projected to exceed $38 billion by 2027. This analysis examines the problem in depth, identifies key stakeholders, evaluates the current state of fraud detection, and defines success criteria for an AI-powered detection system.</w:t>
      </w:r>
    </w:p>
    <w:p>
      <w:pPr>
        <w:spacing w:after="200"/>
      </w:pPr>
      <w:r>
        <w:t xml:space="preserve"/>
      </w:r>
    </w:p>
    <w:p>
      <w:pPr>
        <w:pStyle w:val="Heading1"/>
      </w:pPr>
      <w:r>
        <w:rPr>
          <w:rFonts w:ascii="Arial" w:cs="Arial" w:eastAsia="Arial" w:hAnsi="Arial"/>
          <w:b/>
          <w:bCs/>
          <w:color w:val="1565C0"/>
          <w:sz w:val="32"/>
          <w:szCs w:val="32"/>
        </w:rPr>
        <w:t xml:space="preserve">2. Industry and Business Context</w:t>
      </w:r>
    </w:p>
    <w:p>
      <w:pPr>
        <w:pStyle w:val="Heading2"/>
      </w:pPr>
      <w:r>
        <w:rPr>
          <w:rFonts w:ascii="Arial" w:cs="Arial" w:eastAsia="Arial" w:hAnsi="Arial"/>
          <w:b/>
          <w:bCs/>
          <w:color w:val="1976D2"/>
          <w:sz w:val="26"/>
          <w:szCs w:val="26"/>
        </w:rPr>
        <w:t xml:space="preserve">2.1 Market Landscape</w:t>
      </w:r>
    </w:p>
    <w:p>
      <w:pPr>
        <w:spacing w:after="160"/>
      </w:pPr>
      <w:r>
        <w:rPr>
          <w:rFonts w:ascii="Arial" w:cs="Arial" w:eastAsia="Arial" w:hAnsi="Arial"/>
          <w:sz w:val="22"/>
          <w:szCs w:val="22"/>
        </w:rPr>
        <w:t xml:space="preserve">The global payment card industry processes over 500 billion transactions annually. The shift to digital and contactless payments — accelerated significantly by the COVID-19 pandemic — has expanded the attack surface for fraudsters. The rapid proliferation of e-commerce, mobile payments, and digital wallets has created new fraud vectors that traditional rule-based systems struggle to address.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Market Metric</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Value</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Year</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Global Card Fraud Losses</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$32.34 Billion</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2023</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Projected Losses</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$38+ Billion</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2027</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Annual Card Transactions</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500+ Billion</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2024</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Online Fraud Share</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~65% of total fraud</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2023</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Avg Cost per Fraud Incident</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$5.90 per $1 lost (incl. ops)</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2023</w:t>
            </w:r>
          </w:p>
        </w:tc>
      </w:tr>
    </w:tbl>
    <w:p>
      <w:pPr>
        <w:spacing w:after="200"/>
      </w:pPr>
      <w:r>
        <w:t xml:space="preserve"/>
      </w:r>
    </w:p>
    <w:p>
      <w:pPr>
        <w:pStyle w:val="Heading2"/>
      </w:pPr>
      <w:r>
        <w:rPr>
          <w:rFonts w:ascii="Arial" w:cs="Arial" w:eastAsia="Arial" w:hAnsi="Arial"/>
          <w:b/>
          <w:bCs/>
          <w:color w:val="1976D2"/>
          <w:sz w:val="26"/>
          <w:szCs w:val="26"/>
        </w:rPr>
        <w:t xml:space="preserve">2.2 Real-World Company Examples</w:t>
      </w:r>
    </w:p>
    <w:p>
      <w:pPr>
        <w:spacing w:after="160"/>
      </w:pPr>
      <w:r>
        <w:rPr>
          <w:rFonts w:ascii="Arial" w:cs="Arial" w:eastAsia="Arial" w:hAnsi="Arial"/>
          <w:sz w:val="22"/>
          <w:szCs w:val="22"/>
        </w:rPr>
        <w:t xml:space="preserve">Several major financial institutions face and solve this challenge at scale:</w:t>
      </w:r>
    </w:p>
    <w:p>
      <w:pPr>
        <w:pStyle w:val="ListParagraph"/>
        <w:numPr>
          <w:ilvl w:val="0"/>
          <w:numId w:val="2"/>
        </w:numPr>
        <w:spacing w:after="100"/>
      </w:pPr>
      <w:r>
        <w:rPr>
          <w:rFonts w:ascii="Arial" w:cs="Arial" w:eastAsia="Arial" w:hAnsi="Arial"/>
          <w:sz w:val="22"/>
          <w:szCs w:val="22"/>
        </w:rPr>
        <w:t xml:space="preserve">PayPal: Processes ~$1.5 trillion in payment volume annually. Uses deep learning models that analyze 200+ variables per transaction in under 300ms.</w:t>
      </w:r>
    </w:p>
    <w:p>
      <w:pPr>
        <w:pStyle w:val="ListParagraph"/>
        <w:numPr>
          <w:ilvl w:val="0"/>
          <w:numId w:val="2"/>
        </w:numPr>
        <w:spacing w:after="100"/>
      </w:pPr>
      <w:r>
        <w:rPr>
          <w:rFonts w:ascii="Arial" w:cs="Arial" w:eastAsia="Arial" w:hAnsi="Arial"/>
          <w:sz w:val="22"/>
          <w:szCs w:val="22"/>
        </w:rPr>
        <w:t xml:space="preserve">Visa: Their Advanced Authorization system uses AI to score every transaction globally, preventing an estimated $25 billion in fraud annually.</w:t>
      </w:r>
    </w:p>
    <w:p>
      <w:pPr>
        <w:pStyle w:val="ListParagraph"/>
        <w:numPr>
          <w:ilvl w:val="0"/>
          <w:numId w:val="2"/>
        </w:numPr>
        <w:spacing w:after="100"/>
      </w:pPr>
      <w:r>
        <w:rPr>
          <w:rFonts w:ascii="Arial" w:cs="Arial" w:eastAsia="Arial" w:hAnsi="Arial"/>
          <w:sz w:val="22"/>
          <w:szCs w:val="22"/>
        </w:rPr>
        <w:t xml:space="preserve">JPMorgan Chase: Deploys machine learning across its 66 million active accounts, reducing fraud losses by approximately 30% after AI implementation.</w:t>
      </w:r>
    </w:p>
    <w:p>
      <w:pPr>
        <w:pStyle w:val="ListParagraph"/>
        <w:numPr>
          <w:ilvl w:val="0"/>
          <w:numId w:val="2"/>
        </w:numPr>
        <w:spacing w:after="100"/>
      </w:pPr>
      <w:r>
        <w:rPr>
          <w:rFonts w:ascii="Arial" w:cs="Arial" w:eastAsia="Arial" w:hAnsi="Arial"/>
          <w:sz w:val="22"/>
          <w:szCs w:val="22"/>
        </w:rPr>
        <w:t xml:space="preserve">Stripe Radar: Uses ML trained on billions of global transactions to block fraud with a reported 89% precision rate.</w:t>
      </w:r>
    </w:p>
    <w:p>
      <w:pPr>
        <w:pStyle w:val="ListParagraph"/>
        <w:numPr>
          <w:ilvl w:val="0"/>
          <w:numId w:val="2"/>
        </w:numPr>
        <w:spacing w:after="100"/>
      </w:pPr>
      <w:r>
        <w:rPr>
          <w:rFonts w:ascii="Arial" w:cs="Arial" w:eastAsia="Arial" w:hAnsi="Arial"/>
          <w:sz w:val="22"/>
          <w:szCs w:val="22"/>
        </w:rPr>
        <w:t xml:space="preserve">Mastercard Decision Intelligence: Real-time AI scoring system deployed across the network that evaluates 187 variables per transaction.</w:t>
      </w:r>
    </w:p>
    <w:p>
      <w:pPr>
        <w:spacing w:after="200"/>
      </w:pPr>
      <w:r>
        <w:t xml:space="preserve"/>
      </w:r>
    </w:p>
    <w:p>
      <w:pPr>
        <w:pStyle w:val="Heading1"/>
      </w:pPr>
      <w:r>
        <w:rPr>
          <w:rFonts w:ascii="Arial" w:cs="Arial" w:eastAsia="Arial" w:hAnsi="Arial"/>
          <w:b/>
          <w:bCs/>
          <w:color w:val="1565C0"/>
          <w:sz w:val="32"/>
          <w:szCs w:val="32"/>
        </w:rPr>
        <w:t xml:space="preserve">3. Problem Statement and Challenges</w:t>
      </w:r>
    </w:p>
    <w:p>
      <w:pPr>
        <w:pStyle w:val="Heading2"/>
      </w:pPr>
      <w:r>
        <w:rPr>
          <w:rFonts w:ascii="Arial" w:cs="Arial" w:eastAsia="Arial" w:hAnsi="Arial"/>
          <w:b/>
          <w:bCs/>
          <w:color w:val="1976D2"/>
          <w:sz w:val="26"/>
          <w:szCs w:val="26"/>
        </w:rPr>
        <w:t xml:space="preserve">3.1 Core Business Problem</w:t>
      </w:r>
    </w:p>
    <w:p>
      <w:pPr>
        <w:spacing w:after="160"/>
      </w:pPr>
      <w:r>
        <w:rPr>
          <w:rFonts w:ascii="Arial" w:cs="Arial" w:eastAsia="Arial" w:hAnsi="Arial"/>
          <w:sz w:val="22"/>
          <w:szCs w:val="22"/>
        </w:rPr>
        <w:t xml:space="preserve">Financial institutions need to accurately identify fraudulent credit card transactions in real time — within 50–300 milliseconds — without blocking legitimate transactions, which damages customer trust and generates revenue loss through chargebacks and support costs.</w:t>
      </w:r>
    </w:p>
    <w:p>
      <w:pPr>
        <w:spacing w:after="200"/>
      </w:pPr>
      <w:r>
        <w:t xml:space="preserve"/>
      </w:r>
    </w:p>
    <w:p>
      <w:pPr>
        <w:pStyle w:val="Heading2"/>
      </w:pPr>
      <w:r>
        <w:rPr>
          <w:rFonts w:ascii="Arial" w:cs="Arial" w:eastAsia="Arial" w:hAnsi="Arial"/>
          <w:b/>
          <w:bCs/>
          <w:color w:val="1976D2"/>
          <w:sz w:val="26"/>
          <w:szCs w:val="26"/>
        </w:rPr>
        <w:t xml:space="preserve">3.2 Technical Challenges</w:t>
      </w:r>
    </w:p>
    <w:p>
      <w:pPr>
        <w:pStyle w:val="ListParagraph"/>
        <w:numPr>
          <w:ilvl w:val="0"/>
          <w:numId w:val="2"/>
        </w:numPr>
        <w:spacing w:after="100"/>
      </w:pPr>
      <w:r>
        <w:rPr>
          <w:rFonts w:ascii="Arial" w:cs="Arial" w:eastAsia="Arial" w:hAnsi="Arial"/>
          <w:sz w:val="22"/>
          <w:szCs w:val="22"/>
        </w:rPr>
        <w:t xml:space="preserve">Extreme Class Imbalance: Only 0.17% of transactions are fraudulent (approximately 1 in 578). Standard ML algorithms fail on such imbalanced datasets.</w:t>
      </w:r>
    </w:p>
    <w:p>
      <w:pPr>
        <w:pStyle w:val="ListParagraph"/>
        <w:numPr>
          <w:ilvl w:val="0"/>
          <w:numId w:val="2"/>
        </w:numPr>
        <w:spacing w:after="100"/>
      </w:pPr>
      <w:r>
        <w:rPr>
          <w:rFonts w:ascii="Arial" w:cs="Arial" w:eastAsia="Arial" w:hAnsi="Arial"/>
          <w:sz w:val="22"/>
          <w:szCs w:val="22"/>
        </w:rPr>
        <w:t xml:space="preserve">Concept Drift: Fraud patterns evolve continuously as fraudsters adapt to detection systems. Models must be retrained regularly.</w:t>
      </w:r>
    </w:p>
    <w:p>
      <w:pPr>
        <w:pStyle w:val="ListParagraph"/>
        <w:numPr>
          <w:ilvl w:val="0"/>
          <w:numId w:val="2"/>
        </w:numPr>
        <w:spacing w:after="100"/>
      </w:pPr>
      <w:r>
        <w:rPr>
          <w:rFonts w:ascii="Arial" w:cs="Arial" w:eastAsia="Arial" w:hAnsi="Arial"/>
          <w:sz w:val="22"/>
          <w:szCs w:val="22"/>
        </w:rPr>
        <w:t xml:space="preserve">Real-Time Constraint: Decisions must be made in &lt;300ms to not impact customer experience at point of sale.</w:t>
      </w:r>
    </w:p>
    <w:p>
      <w:pPr>
        <w:pStyle w:val="ListParagraph"/>
        <w:numPr>
          <w:ilvl w:val="0"/>
          <w:numId w:val="2"/>
        </w:numPr>
        <w:spacing w:after="100"/>
      </w:pPr>
      <w:r>
        <w:rPr>
          <w:rFonts w:ascii="Arial" w:cs="Arial" w:eastAsia="Arial" w:hAnsi="Arial"/>
          <w:sz w:val="22"/>
          <w:szCs w:val="22"/>
        </w:rPr>
        <w:t xml:space="preserve">False Positive Problem: Overly aggressive detection blocks legitimate transactions, causing customer frustration and potential revenue loss.</w:t>
      </w:r>
    </w:p>
    <w:p>
      <w:pPr>
        <w:pStyle w:val="ListParagraph"/>
        <w:numPr>
          <w:ilvl w:val="0"/>
          <w:numId w:val="2"/>
        </w:numPr>
        <w:spacing w:after="100"/>
      </w:pPr>
      <w:r>
        <w:rPr>
          <w:rFonts w:ascii="Arial" w:cs="Arial" w:eastAsia="Arial" w:hAnsi="Arial"/>
          <w:sz w:val="22"/>
          <w:szCs w:val="22"/>
        </w:rPr>
        <w:t xml:space="preserve">Privacy Constraints: Customer transaction data is sensitive. All data must be handled in compliance with GDPR, PCI-DSS, and local banking regulations.</w:t>
      </w:r>
    </w:p>
    <w:p>
      <w:pPr>
        <w:pStyle w:val="ListParagraph"/>
        <w:numPr>
          <w:ilvl w:val="0"/>
          <w:numId w:val="2"/>
        </w:numPr>
        <w:spacing w:after="100"/>
      </w:pPr>
      <w:r>
        <w:rPr>
          <w:rFonts w:ascii="Arial" w:cs="Arial" w:eastAsia="Arial" w:hAnsi="Arial"/>
          <w:sz w:val="22"/>
          <w:szCs w:val="22"/>
        </w:rPr>
        <w:t xml:space="preserve">Anonymized Features: Public datasets use PCA-transformed features (V1-V28), making domain-specific feature engineering challenging.</w:t>
      </w:r>
    </w:p>
    <w:p>
      <w:pPr>
        <w:spacing w:after="200"/>
      </w:pPr>
      <w:r>
        <w:t xml:space="preserve"/>
      </w:r>
    </w:p>
    <w:p>
      <w:pPr>
        <w:pStyle w:val="Heading2"/>
      </w:pPr>
      <w:r>
        <w:rPr>
          <w:rFonts w:ascii="Arial" w:cs="Arial" w:eastAsia="Arial" w:hAnsi="Arial"/>
          <w:b/>
          <w:bCs/>
          <w:color w:val="1976D2"/>
          <w:sz w:val="26"/>
          <w:szCs w:val="26"/>
        </w:rPr>
        <w:t xml:space="preserve">3.3 Financial Impact Quantification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Impact Type</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Est. Annual Cost</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Direct Fraud Losses</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Funds transferred to fraudsters</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$32.34 Billion</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False Positive Revenue Loss</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Blocked legitimate transactions</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$118 Billion (US)</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Chargeback Processing</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Dispute handling and operations</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$31 Billion</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Customer Churn</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Customers leaving after bad experience</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$6 Billion</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Compliance Penalties</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Regulatory fines for data breaches</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$5+ Billion</w:t>
            </w:r>
          </w:p>
        </w:tc>
      </w:tr>
    </w:tbl>
    <w:p>
      <w:pPr>
        <w:spacing w:after="200"/>
      </w:pPr>
      <w:r>
        <w:t xml:space="preserve"/>
      </w:r>
    </w:p>
    <w:p>
      <w:pPr>
        <w:pStyle w:val="Heading1"/>
      </w:pPr>
      <w:r>
        <w:rPr>
          <w:rFonts w:ascii="Arial" w:cs="Arial" w:eastAsia="Arial" w:hAnsi="Arial"/>
          <w:b/>
          <w:bCs/>
          <w:color w:val="1565C0"/>
          <w:sz w:val="32"/>
          <w:szCs w:val="32"/>
        </w:rPr>
        <w:t xml:space="preserve">4.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Stakeholder</w:t>
            </w:r>
          </w:p>
        </w:tc>
        <w:tc>
          <w:tcPr>
            <w:tcW w:type="dxa" w:w="234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Role</w:t>
            </w:r>
          </w:p>
        </w:tc>
        <w:tc>
          <w:tcPr>
            <w:tcW w:type="dxa" w:w="234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Impact</w:t>
            </w:r>
          </w:p>
        </w:tc>
        <w:tc>
          <w:tcPr>
            <w:tcW w:type="dxa" w:w="234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Key Concern</w:t>
            </w:r>
          </w:p>
        </w:tc>
      </w:tr>
      <w:tr>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Cardholders (Customers)</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End users of payment cards</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Security &amp; experience</w:t>
            </w:r>
          </w:p>
        </w:tc>
      </w:tr>
      <w:tr>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Issuing Banks</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Issue cards and bear fraud liability</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VERY HIGH</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Loss minimization</w:t>
            </w:r>
          </w:p>
        </w:tc>
      </w:tr>
      <w:tr>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Merchants</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Accept card payments</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Chargebacks &amp; revenue</w:t>
            </w:r>
          </w:p>
        </w:tc>
      </w:tr>
      <w:tr>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Payment Networks (Visa/MC)</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Process transactions globally</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Network reputation</w:t>
            </w:r>
          </w:p>
        </w:tc>
      </w:tr>
      <w:tr>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Regulators (RBI, ECB)</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Enforce compliance</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Consumer protection</w:t>
            </w:r>
          </w:p>
        </w:tc>
      </w:tr>
      <w:tr>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Fraud Investigators</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Review flagged transactions</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Efficiency &amp; accuracy</w:t>
            </w:r>
          </w:p>
        </w:tc>
      </w:tr>
      <w:tr>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Data Scientists</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Build and maintain models</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Model performance</w:t>
            </w:r>
          </w:p>
        </w:tc>
      </w:tr>
    </w:tbl>
    <w:p>
      <w:pPr>
        <w:spacing w:after="200"/>
      </w:pPr>
      <w:r>
        <w:t xml:space="preserve"/>
      </w:r>
    </w:p>
    <w:p>
      <w:pPr>
        <w:pStyle w:val="Heading1"/>
      </w:pPr>
      <w:r>
        <w:rPr>
          <w:rFonts w:ascii="Arial" w:cs="Arial" w:eastAsia="Arial" w:hAnsi="Arial"/>
          <w:b/>
          <w:bCs/>
          <w:color w:val="1565C0"/>
          <w:sz w:val="32"/>
          <w:szCs w:val="32"/>
        </w:rPr>
        <w:t xml:space="preserve">5. Current State Assessment</w:t>
      </w:r>
    </w:p>
    <w:p>
      <w:pPr>
        <w:pStyle w:val="Heading2"/>
      </w:pPr>
      <w:r>
        <w:rPr>
          <w:rFonts w:ascii="Arial" w:cs="Arial" w:eastAsia="Arial" w:hAnsi="Arial"/>
          <w:b/>
          <w:bCs/>
          <w:color w:val="1976D2"/>
          <w:sz w:val="26"/>
          <w:szCs w:val="26"/>
        </w:rPr>
        <w:t xml:space="preserve">5.1 Traditional Rule-Based Systems</w:t>
      </w:r>
    </w:p>
    <w:p>
      <w:pPr>
        <w:spacing w:after="160"/>
      </w:pPr>
      <w:r>
        <w:rPr>
          <w:rFonts w:ascii="Arial" w:cs="Arial" w:eastAsia="Arial" w:hAnsi="Arial"/>
          <w:sz w:val="22"/>
          <w:szCs w:val="22"/>
        </w:rPr>
        <w:t xml:space="preserve">Most banks historically used static rule-based systems (e.g., 'block if amount &gt; €5000 from overseas'), which are limited in several ways:</w:t>
      </w:r>
    </w:p>
    <w:p>
      <w:pPr>
        <w:pStyle w:val="ListParagraph"/>
        <w:numPr>
          <w:ilvl w:val="0"/>
          <w:numId w:val="2"/>
        </w:numPr>
        <w:spacing w:after="100"/>
      </w:pPr>
      <w:r>
        <w:rPr>
          <w:rFonts w:ascii="Arial" w:cs="Arial" w:eastAsia="Arial" w:hAnsi="Arial"/>
          <w:sz w:val="22"/>
          <w:szCs w:val="22"/>
        </w:rPr>
        <w:t xml:space="preserve">Low Flexibility: Rules cannot adapt to new fraud patterns without manual update.</w:t>
      </w:r>
    </w:p>
    <w:p>
      <w:pPr>
        <w:pStyle w:val="ListParagraph"/>
        <w:numPr>
          <w:ilvl w:val="0"/>
          <w:numId w:val="2"/>
        </w:numPr>
        <w:spacing w:after="100"/>
      </w:pPr>
      <w:r>
        <w:rPr>
          <w:rFonts w:ascii="Arial" w:cs="Arial" w:eastAsia="Arial" w:hAnsi="Arial"/>
          <w:sz w:val="22"/>
          <w:szCs w:val="22"/>
        </w:rPr>
        <w:t xml:space="preserve">High False Positives: Broad rules block legitimate customers — studies show 1 in 5 fraud alerts is a false positive.</w:t>
      </w:r>
    </w:p>
    <w:p>
      <w:pPr>
        <w:pStyle w:val="ListParagraph"/>
        <w:numPr>
          <w:ilvl w:val="0"/>
          <w:numId w:val="2"/>
        </w:numPr>
        <w:spacing w:after="100"/>
      </w:pPr>
      <w:r>
        <w:rPr>
          <w:rFonts w:ascii="Arial" w:cs="Arial" w:eastAsia="Arial" w:hAnsi="Arial"/>
          <w:sz w:val="22"/>
          <w:szCs w:val="22"/>
        </w:rPr>
        <w:t xml:space="preserve">Expert Dependency: Rule creation requires experienced fraud analysts.</w:t>
      </w:r>
    </w:p>
    <w:p>
      <w:pPr>
        <w:pStyle w:val="ListParagraph"/>
        <w:numPr>
          <w:ilvl w:val="0"/>
          <w:numId w:val="2"/>
        </w:numPr>
        <w:spacing w:after="100"/>
      </w:pPr>
      <w:r>
        <w:rPr>
          <w:rFonts w:ascii="Arial" w:cs="Arial" w:eastAsia="Arial" w:hAnsi="Arial"/>
          <w:sz w:val="22"/>
          <w:szCs w:val="22"/>
        </w:rPr>
        <w:t xml:space="preserve">No Learning: Systems do not improve from new data automatically.</w:t>
      </w:r>
    </w:p>
    <w:p>
      <w:pPr>
        <w:spacing w:after="200"/>
      </w:pPr>
      <w:r>
        <w:t xml:space="preserve"/>
      </w:r>
    </w:p>
    <w:p>
      <w:pPr>
        <w:pStyle w:val="Heading2"/>
      </w:pPr>
      <w:r>
        <w:rPr>
          <w:rFonts w:ascii="Arial" w:cs="Arial" w:eastAsia="Arial" w:hAnsi="Arial"/>
          <w:b/>
          <w:bCs/>
          <w:color w:val="1976D2"/>
          <w:sz w:val="26"/>
          <w:szCs w:val="26"/>
        </w:rPr>
        <w:t xml:space="preserve">5.2 Current AI Adoption in Industry</w:t>
      </w:r>
    </w:p>
    <w:p>
      <w:pPr>
        <w:spacing w:after="160"/>
      </w:pPr>
      <w:r>
        <w:rPr>
          <w:rFonts w:ascii="Arial" w:cs="Arial" w:eastAsia="Arial" w:hAnsi="Arial"/>
          <w:sz w:val="22"/>
          <w:szCs w:val="22"/>
        </w:rPr>
        <w:t xml:space="preserve">Leading institutions have moved to ML-based systems, but even these face challenges such as model drift, explainability requirements from regulators, and the computational cost of real-time inference at massive scale.</w:t>
      </w:r>
    </w:p>
    <w:p>
      <w:pPr>
        <w:spacing w:after="200"/>
      </w:pPr>
      <w:r>
        <w:t xml:space="preserve"/>
      </w:r>
    </w:p>
    <w:p>
      <w:pPr>
        <w:pStyle w:val="Heading1"/>
      </w:pPr>
      <w:r>
        <w:rPr>
          <w:rFonts w:ascii="Arial" w:cs="Arial" w:eastAsia="Arial" w:hAnsi="Arial"/>
          <w:b/>
          <w:bCs/>
          <w:color w:val="1565C0"/>
          <w:sz w:val="32"/>
          <w:szCs w:val="32"/>
        </w:rPr>
        <w:t xml:space="preserve">6. Success Criteria and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KPI</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Target</w:t>
            </w:r>
          </w:p>
        </w:tc>
        <w:tc>
          <w:tcPr>
            <w:tcW w:type="dxa" w:w="312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Rationale</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AUC-ROC Score</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 0.95</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Measures overall discriminative ability</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Fraud Detection Rate (Recall)</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 80%</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Catch majority of actual fraud</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False Positive Rate</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 0.1%</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Minimize blocking legitimate customers</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Precision</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 90%</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High quality of fraud alerts</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Inference Latency</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&lt; 50ms per transaction</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Real-time deployment requirement</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Model Retraining Cycle</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Monthly</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Adapt to evolving fraud patterns</w:t>
            </w:r>
          </w:p>
        </w:tc>
      </w:tr>
      <w:tr>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SHAP Explainability</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Top 10 features per decision</w:t>
            </w:r>
          </w:p>
        </w:tc>
        <w:tc>
          <w:tcPr>
            <w:tcW w:type="dxa" w:w="312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Regulatory compliance</w:t>
            </w:r>
          </w:p>
        </w:tc>
      </w:tr>
    </w:tbl>
    <w:p>
      <w:pPr>
        <w:spacing w:after="200"/>
      </w:pPr>
      <w:r>
        <w:t xml:space="preserve"/>
      </w:r>
    </w:p>
    <w:p>
      <w:pPr>
        <w:spacing w:after="200"/>
      </w:pPr>
      <w:r>
        <w:t xml:space="preserve"/>
      </w:r>
    </w:p>
    <w:p>
      <w:pPr>
        <w:jc w:val="center"/>
      </w:pPr>
      <w:r>
        <w:rPr>
          <w:rFonts w:ascii="Arial" w:cs="Arial" w:eastAsia="Arial" w:hAnsi="Arial"/>
          <w:i/>
          <w:iCs/>
          <w:color w:val="999999"/>
          <w:sz w:val="20"/>
          <w:szCs w:val="20"/>
        </w:rPr>
        <w:t xml:space="preserve">— End of Case Study Analysis Report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565C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976D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2026-02-27T07:28:27.925Z</dcterms:created>
  <dcterms:modified xsi:type="dcterms:W3CDTF">2026-02-27T07:28:27.926Z</dcterms:modified>
</cp:coreProperties>
</file>

<file path=docProps/custom.xml><?xml version="1.0" encoding="utf-8"?>
<Properties xmlns="http://schemas.openxmlformats.org/officeDocument/2006/custom-properties" xmlns:vt="http://schemas.openxmlformats.org/officeDocument/2006/docPropsVTypes"/>
</file>