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60"/>
        <w:jc w:val="center"/>
      </w:pPr>
      <w:r>
        <w:rPr>
          <w:rFonts w:ascii="Arial" w:cs="Arial" w:eastAsia="Arial" w:hAnsi="Arial"/>
          <w:b/>
          <w:bCs/>
          <w:color w:val="0D1B2A"/>
          <w:sz w:val="54"/>
          <w:szCs w:val="54"/>
        </w:rPr>
        <w:t xml:space="preserve">CASE STUDY ANALYSIS REPORT</w:t>
      </w:r>
    </w:p>
    <w:p>
      <w:pPr>
        <w:spacing w:before="0" w:after="500"/>
        <w:jc w:val="center"/>
      </w:pPr>
      <w:r>
        <w:rPr>
          <w:rFonts w:ascii="Arial" w:cs="Arial" w:eastAsia="Arial" w:hAnsi="Arial"/>
          <w:b/>
          <w:bCs/>
          <w:color w:val="1565C0"/>
          <w:sz w:val="34"/>
          <w:szCs w:val="34"/>
        </w:rPr>
        <w:t xml:space="preserve">Credit Card Fraud Detection Using Machine Learning</w:t>
      </w:r>
    </w:p>
    <w:p>
      <w:pPr>
        <w:spacing w:before="0" w:after="500"/>
        <w:jc w:val="center"/>
      </w:pPr>
      <w:r>
        <w:rPr>
          <w:rFonts w:ascii="Arial" w:cs="Arial" w:eastAsia="Arial" w:hAnsi="Arial"/>
          <w:b w:val="false"/>
          <w:bCs w:val="false"/>
          <w:color w:val="1976D2"/>
          <w:sz w:val="26"/>
          <w:szCs w:val="26"/>
        </w:rPr>
        <w:t xml:space="preserve">━━━━━━━━━━━━━━━━━━━━━━━━━━━━━━━━━━━━━━━━━━━━━━━━━━━━━</w:t>
      </w:r>
    </w:p>
    <w:p>
      <w:pPr>
        <w:spacing w:before="0" w:after="120"/>
        <w:jc w:val="center"/>
      </w:pPr>
      <w:r>
        <w:rPr>
          <w:rFonts w:ascii="Arial" w:cs="Arial" w:eastAsia="Arial" w:hAnsi="Arial"/>
          <w:b/>
          <w:bCs/>
          <w:color w:val="0D1B2A"/>
          <w:sz w:val="24"/>
          <w:szCs w:val="24"/>
        </w:rPr>
        <w:t xml:space="preserve">Document: </w:t>
      </w:r>
      <w:r>
        <w:rPr>
          <w:rFonts w:ascii="Arial" w:cs="Arial" w:eastAsia="Arial" w:hAnsi="Arial"/>
          <w:b w:val="false"/>
          <w:bCs w:val="false"/>
          <w:color w:val="333333"/>
          <w:sz w:val="24"/>
          <w:szCs w:val="24"/>
        </w:rPr>
        <w:t xml:space="preserve">Deliverable 1 of 5 — Case Study Analysis</w:t>
      </w:r>
    </w:p>
    <w:p>
      <w:pPr>
        <w:spacing w:before="0" w:after="120"/>
        <w:jc w:val="center"/>
      </w:pPr>
      <w:r>
        <w:rPr>
          <w:rFonts w:ascii="Arial" w:cs="Arial" w:eastAsia="Arial" w:hAnsi="Arial"/>
          <w:b/>
          <w:bCs/>
          <w:color w:val="0D1B2A"/>
          <w:sz w:val="24"/>
          <w:szCs w:val="24"/>
        </w:rPr>
        <w:t xml:space="preserve">Domain: </w:t>
      </w:r>
      <w:r>
        <w:rPr>
          <w:rFonts w:ascii="Arial" w:cs="Arial" w:eastAsia="Arial" w:hAnsi="Arial"/>
          <w:b w:val="false"/>
          <w:bCs w:val="false"/>
          <w:color w:val="333333"/>
          <w:sz w:val="24"/>
          <w:szCs w:val="24"/>
        </w:rPr>
        <w:t xml:space="preserve">Financial Services &amp; FinTech</w:t>
      </w:r>
    </w:p>
    <w:p>
      <w:pPr>
        <w:spacing w:before="0" w:after="120"/>
        <w:jc w:val="center"/>
      </w:pPr>
      <w:r>
        <w:rPr>
          <w:rFonts w:ascii="Arial" w:cs="Arial" w:eastAsia="Arial" w:hAnsi="Arial"/>
          <w:b/>
          <w:bCs/>
          <w:color w:val="0D1B2A"/>
          <w:sz w:val="24"/>
          <w:szCs w:val="24"/>
        </w:rPr>
        <w:t xml:space="preserve">Dataset: </w:t>
      </w:r>
      <w:r>
        <w:rPr>
          <w:rFonts w:ascii="Arial" w:cs="Arial" w:eastAsia="Arial" w:hAnsi="Arial"/>
          <w:b w:val="false"/>
          <w:bCs w:val="false"/>
          <w:color w:val="333333"/>
          <w:sz w:val="24"/>
          <w:szCs w:val="24"/>
        </w:rPr>
        <w:t xml:space="preserve">Kaggle ULB — 284,807 Transactions | 0.172% Fraud Rate</w:t>
      </w:r>
    </w:p>
    <w:p>
      <w:pPr>
        <w:spacing w:before="0" w:after="120"/>
        <w:jc w:val="center"/>
      </w:pPr>
      <w:r>
        <w:rPr>
          <w:rFonts w:ascii="Arial" w:cs="Arial" w:eastAsia="Arial" w:hAnsi="Arial"/>
          <w:b/>
          <w:bCs/>
          <w:color w:val="0D1B2A"/>
          <w:sz w:val="24"/>
          <w:szCs w:val="24"/>
        </w:rPr>
        <w:t xml:space="preserve">Companies Studied: </w:t>
      </w:r>
      <w:r>
        <w:rPr>
          <w:rFonts w:ascii="Arial" w:cs="Arial" w:eastAsia="Arial" w:hAnsi="Arial"/>
          <w:b w:val="false"/>
          <w:bCs w:val="false"/>
          <w:color w:val="333333"/>
          <w:sz w:val="24"/>
          <w:szCs w:val="24"/>
        </w:rPr>
        <w:t xml:space="preserve">Visa, PayPal, JPMorgan Chase, Stripe Radar</w:t>
      </w:r>
    </w:p>
    <w:p>
      <w:pPr>
        <w:spacing w:before="0" w:after="120"/>
        <w:jc w:val="center"/>
      </w:pPr>
      <w:r>
        <w:rPr>
          <w:rFonts w:ascii="Arial" w:cs="Arial" w:eastAsia="Arial" w:hAnsi="Arial"/>
          <w:b/>
          <w:bCs/>
          <w:color w:val="0D1B2A"/>
          <w:sz w:val="24"/>
          <w:szCs w:val="24"/>
        </w:rPr>
        <w:t xml:space="preserve">Problem Type: </w:t>
      </w:r>
      <w:r>
        <w:rPr>
          <w:rFonts w:ascii="Arial" w:cs="Arial" w:eastAsia="Arial" w:hAnsi="Arial"/>
          <w:b w:val="false"/>
          <w:bCs w:val="false"/>
          <w:color w:val="333333"/>
          <w:sz w:val="24"/>
          <w:szCs w:val="24"/>
        </w:rPr>
        <w:t xml:space="preserve">Binary Classification under Extreme Class Imbalance (577:1)</w:t>
      </w:r>
    </w:p>
    <w:p>
      <w:pPr>
        <w:spacing w:before="0" w:after="120"/>
        <w:jc w:val="center"/>
      </w:pPr>
      <w:r>
        <w:rPr>
          <w:rFonts w:ascii="Arial" w:cs="Arial" w:eastAsia="Arial" w:hAnsi="Arial"/>
          <w:b/>
          <w:bCs/>
          <w:color w:val="0D1B2A"/>
          <w:sz w:val="24"/>
          <w:szCs w:val="24"/>
        </w:rPr>
        <w:t xml:space="preserve">Solution Selected: </w:t>
      </w:r>
      <w:r>
        <w:rPr>
          <w:rFonts w:ascii="Arial" w:cs="Arial" w:eastAsia="Arial" w:hAnsi="Arial"/>
          <w:b w:val="false"/>
          <w:bCs w:val="false"/>
          <w:color w:val="333333"/>
          <w:sz w:val="24"/>
          <w:szCs w:val="24"/>
        </w:rPr>
        <w:t xml:space="preserve">XGBoost + SMOTE + SHAP Explainability</w:t>
      </w:r>
    </w:p>
    <w:p>
      <w:pPr>
        <w:spacing w:before="0" w:after="120"/>
        <w:jc w:val="center"/>
      </w:pPr>
      <w:r>
        <w:rPr>
          <w:rFonts w:ascii="Arial" w:cs="Arial" w:eastAsia="Arial" w:hAnsi="Arial"/>
          <w:b/>
          <w:bCs/>
          <w:color w:val="0D1B2A"/>
          <w:sz w:val="24"/>
          <w:szCs w:val="24"/>
        </w:rPr>
        <w:t xml:space="preserve">Internship Period: </w:t>
      </w:r>
      <w:r>
        <w:rPr>
          <w:rFonts w:ascii="Arial" w:cs="Arial" w:eastAsia="Arial" w:hAnsi="Arial"/>
          <w:b w:val="false"/>
          <w:bCs w:val="false"/>
          <w:color w:val="333333"/>
          <w:sz w:val="24"/>
          <w:szCs w:val="24"/>
        </w:rPr>
        <w:t xml:space="preserve">Feb 26 – Mar 19, 2026 (22 Days)</w:t>
      </w:r>
    </w:p>
    <w:p>
      <w:r>
        <w:br w:type="page"/>
      </w:r>
    </w:p>
    <w:p>
      <w:pPr>
        <w:pStyle w:val="Heading1"/>
        <w:pBdr>
          <w:bottom w:val="single" w:color="1565C0" w:sz="10" w:space="4"/>
        </w:pBdr>
        <w:spacing w:before="400" w:after="180"/>
      </w:pPr>
      <w:r>
        <w:rPr>
          <w:rFonts w:ascii="Arial" w:cs="Arial" w:eastAsia="Arial" w:hAnsi="Arial"/>
          <w:b/>
          <w:bCs/>
          <w:color w:val="0D1B2A"/>
          <w:sz w:val="38"/>
          <w:szCs w:val="38"/>
        </w:rPr>
        <w:t xml:space="preserve">1. Executive Summary</w:t>
      </w:r>
    </w:p>
    <w:p>
      <w:pPr>
        <w:spacing w:before="80" w:after="160"/>
        <w:jc w:val="both"/>
      </w:pPr>
      <w:r>
        <w:rPr>
          <w:rFonts w:ascii="Arial" w:cs="Arial" w:eastAsia="Arial" w:hAnsi="Arial"/>
          <w:b w:val="false"/>
          <w:bCs w:val="false"/>
          <w:color w:val="333333"/>
          <w:sz w:val="22"/>
          <w:szCs w:val="22"/>
        </w:rPr>
        <w:t xml:space="preserve">Credit card fraud is one of the most serious and rapidly escalating threats facing the global financial system. In 2023, card fraud losses reached $32.34 billion worldwide, with projections indicating this figure will exceed $38 billion by 2027. This case study provides a comprehensive analysis of the business problem, industry context, real-world company examples, technical challenges, stakeholder landscape, financial impact, and strategic solution framework for deploying an AI-powered fraud detection system.</w:t>
      </w:r>
    </w:p>
    <w:p>
      <w:pPr>
        <w:spacing w:before="80" w:after="160"/>
        <w:jc w:val="both"/>
      </w:pPr>
      <w:r>
        <w:rPr>
          <w:rFonts w:ascii="Arial" w:cs="Arial" w:eastAsia="Arial" w:hAnsi="Arial"/>
          <w:b w:val="false"/>
          <w:bCs w:val="false"/>
          <w:color w:val="333333"/>
          <w:sz w:val="22"/>
          <w:szCs w:val="22"/>
        </w:rPr>
        <w:t xml:space="preserve">The case study is built on the Kaggle ULB Credit Card Fraud dataset published by the Universite Libre de Bruxelles Machine Learning Group — the de facto academic benchmark for fraud detection research. The dataset contains 284,807 European credit card transactions from September 2013, including 492 confirmed fraud cases (0.172% fraud rate), closely mirroring real-world conditions.</w:t>
      </w:r>
    </w:p>
    <w:p>
      <w:pPr>
        <w:spacing w:before="80" w:after="160"/>
        <w:jc w:val="both"/>
      </w:pPr>
      <w:r>
        <w:rPr>
          <w:rFonts w:ascii="Arial" w:cs="Arial" w:eastAsia="Arial" w:hAnsi="Arial"/>
          <w:b w:val="false"/>
          <w:bCs w:val="false"/>
          <w:color w:val="333333"/>
          <w:sz w:val="22"/>
          <w:szCs w:val="22"/>
        </w:rPr>
        <w:t xml:space="preserve">Current rule-based fraud detection systems — the industry standard at most financial institutions today — suffer from two critical failures: they miss approximately 38% of fraudulent transactions (high false negatives), and they incorrectly block an estimated $118 billion in legitimate US transactions annually (high false positives). Machine learning, specifically XGBoost with SMOTE oversampling, addresses both failures by learning non-linear fraud patterns from historical data while adapting to emerging threats through monthly retraining.</w:t>
      </w:r>
    </w:p>
    <w:p>
      <w:pPr>
        <w:spacing w:before="80" w:after="160"/>
        <w:jc w:val="both"/>
      </w:pPr>
      <w:r>
        <w:rPr>
          <w:rFonts w:ascii="Arial" w:cs="Arial" w:eastAsia="Arial" w:hAnsi="Arial"/>
          <w:b w:val="false"/>
          <w:bCs w:val="false"/>
          <w:color w:val="333333"/>
          <w:sz w:val="22"/>
          <w:szCs w:val="22"/>
        </w:rPr>
        <w:t xml:space="preserve">This report covers the complete problem lifecycle: industry context and scale quantification, detailed problem statement and technical constraints, real-world company case studies (Visa, PayPal, JPMorgan Chase, Stripe), stakeholder mapping and conflict resolution, financial impact quantification, dataset analysis with EDA findings, and a defined KPI framework for measuring solution success.</w:t>
      </w:r>
    </w:p>
    <w:p>
      <w:pPr>
        <w:spacing w:before="0" w:after="160"/>
      </w:pPr>
      <w:r>
        <w:t xml:space="preserve"/>
      </w:r>
    </w:p>
    <w:p>
      <w:r>
        <w:br w:type="page"/>
      </w:r>
    </w:p>
    <w:p>
      <w:pPr>
        <w:pStyle w:val="Heading1"/>
        <w:pBdr>
          <w:bottom w:val="single" w:color="1565C0" w:sz="10" w:space="4"/>
        </w:pBdr>
        <w:spacing w:before="400" w:after="180"/>
      </w:pPr>
      <w:r>
        <w:rPr>
          <w:rFonts w:ascii="Arial" w:cs="Arial" w:eastAsia="Arial" w:hAnsi="Arial"/>
          <w:b/>
          <w:bCs/>
          <w:color w:val="0D1B2A"/>
          <w:sz w:val="38"/>
          <w:szCs w:val="38"/>
        </w:rPr>
        <w:t xml:space="preserve">2. Industry Context &amp; Market Analysis</w:t>
      </w:r>
    </w:p>
    <w:p>
      <w:pPr>
        <w:pStyle w:val="Heading2"/>
        <w:spacing w:before="300" w:after="140"/>
      </w:pPr>
      <w:r>
        <w:rPr>
          <w:rFonts w:ascii="Arial" w:cs="Arial" w:eastAsia="Arial" w:hAnsi="Arial"/>
          <w:b/>
          <w:bCs/>
          <w:color w:val="1565C0"/>
          <w:sz w:val="30"/>
          <w:szCs w:val="30"/>
        </w:rPr>
        <w:t xml:space="preserve">2.1 The Scale of Credit Card Fraud</w:t>
      </w:r>
    </w:p>
    <w:p>
      <w:pPr>
        <w:spacing w:before="80" w:after="160"/>
        <w:jc w:val="both"/>
      </w:pPr>
      <w:r>
        <w:rPr>
          <w:rFonts w:ascii="Arial" w:cs="Arial" w:eastAsia="Arial" w:hAnsi="Arial"/>
          <w:b w:val="false"/>
          <w:bCs w:val="false"/>
          <w:color w:val="333333"/>
          <w:sz w:val="22"/>
          <w:szCs w:val="22"/>
        </w:rPr>
        <w:t xml:space="preserve">Credit card fraud occurs when unauthorised individuals use stolen card information to make purchases or access financial accounts. The global payments industry now processes over 500 billion card transactions annually, creating an enormous and growing surface area for fraudsters to exploit. The rapid digitisation of commerce — accelerated dramatically by the COVID-19 pandemic — has shifted the fraud landscape toward Card-Not-Present (CNP) transactions, which now account for 73% of all card fraud losses.</w:t>
      </w:r>
    </w:p>
    <w:p>
      <w:pPr>
        <w:spacing w:before="80" w:after="160"/>
        <w:jc w:val="both"/>
      </w:pPr>
      <w:r>
        <w:rPr>
          <w:rFonts w:ascii="Arial" w:cs="Arial" w:eastAsia="Arial" w:hAnsi="Arial"/>
          <w:b w:val="false"/>
          <w:bCs w:val="false"/>
          <w:color w:val="333333"/>
          <w:sz w:val="22"/>
          <w:szCs w:val="22"/>
        </w:rPr>
        <w:t xml:space="preserve">Key market metrics establishing the business case for AI-powered fraud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Market Metric</w:t>
            </w:r>
          </w:p>
        </w:tc>
        <w:tc>
          <w:tcPr>
            <w:tcW w:type="dxa" w:w="24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2023 Value</w:t>
            </w:r>
          </w:p>
        </w:tc>
        <w:tc>
          <w:tcPr>
            <w:tcW w:type="dxa" w:w="376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Significance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Global Card Fraud Losses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$32.34 Billion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Primary business driver — AI can prevent 60–70%</w:t>
            </w:r>
          </w:p>
        </w:tc>
      </w:tr>
      <w:tr>
        <w:tc>
          <w:tcPr>
            <w:tcW w:type="dxa" w:w="32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Projected Losses by 2027</w:t>
            </w:r>
          </w:p>
        </w:tc>
        <w:tc>
          <w:tcPr>
            <w:tcW w:type="dxa" w:w="24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$38+ Billion</w:t>
            </w:r>
          </w:p>
        </w:tc>
        <w:tc>
          <w:tcPr>
            <w:tcW w:type="dxa" w:w="37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15% annual growth rate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US Fraud Losses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$11.8 Billion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Largest single national market</w:t>
            </w:r>
          </w:p>
        </w:tc>
      </w:tr>
      <w:tr>
        <w:tc>
          <w:tcPr>
            <w:tcW w:type="dxa" w:w="32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Card-Not-Present Fraud</w:t>
            </w:r>
          </w:p>
        </w:tc>
        <w:tc>
          <w:tcPr>
            <w:tcW w:type="dxa" w:w="24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73% of total losses</w:t>
            </w:r>
          </w:p>
        </w:tc>
        <w:tc>
          <w:tcPr>
            <w:tcW w:type="dxa" w:w="37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CNP overtook card-present post-COVID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Cost per Fraud Dollar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$3.75 total cost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Includes chargebacks, ops, reputational damage</w:t>
            </w:r>
          </w:p>
        </w:tc>
      </w:tr>
      <w:tr>
        <w:tc>
          <w:tcPr>
            <w:tcW w:type="dxa" w:w="32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False Positive Revenue Loss</w:t>
            </w:r>
          </w:p>
        </w:tc>
        <w:tc>
          <w:tcPr>
            <w:tcW w:type="dxa" w:w="24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$118 Billion (US)</w:t>
            </w:r>
          </w:p>
        </w:tc>
        <w:tc>
          <w:tcPr>
            <w:tcW w:type="dxa" w:w="37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Legitimate transactions wrongly declined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Annual Global Transactions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500+ Billion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Growing surface area for fraud</w:t>
            </w:r>
          </w:p>
        </w:tc>
      </w:tr>
      <w:tr>
        <w:tc>
          <w:tcPr>
            <w:tcW w:type="dxa" w:w="32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AI Fraud Detection Market</w:t>
            </w:r>
          </w:p>
        </w:tc>
        <w:tc>
          <w:tcPr>
            <w:tcW w:type="dxa" w:w="24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$9.3 Billion</w:t>
            </w:r>
          </w:p>
        </w:tc>
        <w:tc>
          <w:tcPr>
            <w:tcW w:type="dxa" w:w="37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Fastest-growing segment in financial technology</w:t>
            </w:r>
          </w:p>
        </w:tc>
      </w:tr>
    </w:tbl>
    <w:p>
      <w:pPr>
        <w:spacing w:before="0" w:after="160"/>
      </w:pPr>
      <w:r>
        <w:t xml:space="preserve"/>
      </w:r>
    </w:p>
    <w:p>
      <w:pPr>
        <w:pStyle w:val="Heading2"/>
        <w:spacing w:before="300" w:after="140"/>
      </w:pPr>
      <w:r>
        <w:rPr>
          <w:rFonts w:ascii="Arial" w:cs="Arial" w:eastAsia="Arial" w:hAnsi="Arial"/>
          <w:b/>
          <w:bCs/>
          <w:color w:val="1565C0"/>
          <w:sz w:val="30"/>
          <w:szCs w:val="30"/>
        </w:rPr>
        <w:t xml:space="preserve">2.2 Real-World Company Case Studies</w:t>
      </w:r>
    </w:p>
    <w:p>
      <w:pPr>
        <w:pStyle w:val="Heading3"/>
        <w:spacing w:before="220" w:after="100"/>
      </w:pPr>
      <w:r>
        <w:rPr>
          <w:rFonts w:ascii="Arial" w:cs="Arial" w:eastAsia="Arial" w:hAnsi="Arial"/>
          <w:b/>
          <w:bCs/>
          <w:color w:val="1976D2"/>
          <w:sz w:val="26"/>
          <w:szCs w:val="26"/>
        </w:rPr>
        <w:t xml:space="preserve">Visa — AI Prevents $25 Billion in Fraud Annually</w:t>
      </w:r>
    </w:p>
    <w:p>
      <w:pPr>
        <w:spacing w:before="80" w:after="160"/>
        <w:jc w:val="both"/>
      </w:pPr>
      <w:r>
        <w:rPr>
          <w:rFonts w:ascii="Arial" w:cs="Arial" w:eastAsia="Arial" w:hAnsi="Arial"/>
          <w:b w:val="false"/>
          <w:bCs w:val="false"/>
          <w:color w:val="333333"/>
          <w:sz w:val="22"/>
          <w:szCs w:val="22"/>
        </w:rPr>
        <w:t xml:space="preserve">Visa is the world's largest payment network, processing over 65,000 transactions per second across 3.9 billion cards in 200+ countries. Their Advanced Authorization (AA) system uses a neural network model analysing 500+ variables per transaction and delivering a fraud risk score in under 100 milliseconds — a strict requirement ensuring the score arrives before the cardholder's payment app shows a response. Visa publicly reports that their AI system prevents approximately $25 billion in annual fraud — demonstrating that machine learning fraud detection is not theoretical but a core operational requirement at global scale. Visa's model is refreshed every 30 days using sliding-window training to combat concept drift, directly motivating our monthly retraining architecture.</w:t>
      </w:r>
    </w:p>
    <w:p>
      <w:pPr>
        <w:pStyle w:val="Heading3"/>
        <w:spacing w:before="220" w:after="100"/>
      </w:pPr>
      <w:r>
        <w:rPr>
          <w:rFonts w:ascii="Arial" w:cs="Arial" w:eastAsia="Arial" w:hAnsi="Arial"/>
          <w:b/>
          <w:bCs/>
          <w:color w:val="1976D2"/>
          <w:sz w:val="26"/>
          <w:szCs w:val="26"/>
        </w:rPr>
        <w:t xml:space="preserve">PayPal — 0.32% Fraud Rate at $1.5 Trillion Payment Volume</w:t>
      </w:r>
    </w:p>
    <w:p>
      <w:pPr>
        <w:spacing w:before="80" w:after="160"/>
        <w:jc w:val="both"/>
      </w:pPr>
      <w:r>
        <w:rPr>
          <w:rFonts w:ascii="Arial" w:cs="Arial" w:eastAsia="Arial" w:hAnsi="Arial"/>
          <w:b w:val="false"/>
          <w:bCs w:val="false"/>
          <w:color w:val="333333"/>
          <w:sz w:val="22"/>
          <w:szCs w:val="22"/>
        </w:rPr>
        <w:t xml:space="preserve">PayPal processes $1.5 trillion in payment volume annually across 426 million active accounts. Their fraud detection stack combines gradient boosted trees for transaction-level scoring with LSTM (Long Short-Term Memory) recurrent networks for modelling user behavioural sequences. PayPal reports a fraud rate of 0.32% — significantly below the industry average of 0.58% — which they attribute to their ML system's ability to incorporate behavioural biometrics (keystroke dynamics, mouse movement patterns, device fingerprints) alongside transaction features. The $1.5 billion in annual fraud prevention they report demonstrates clear ROI at massive scale.</w:t>
      </w:r>
    </w:p>
    <w:p>
      <w:pPr>
        <w:pStyle w:val="Heading3"/>
        <w:spacing w:before="220" w:after="100"/>
      </w:pPr>
      <w:r>
        <w:rPr>
          <w:rFonts w:ascii="Arial" w:cs="Arial" w:eastAsia="Arial" w:hAnsi="Arial"/>
          <w:b/>
          <w:bCs/>
          <w:color w:val="1976D2"/>
          <w:sz w:val="26"/>
          <w:szCs w:val="26"/>
        </w:rPr>
        <w:t xml:space="preserve">JPMorgan Chase — 30% Fraud Loss Reduction in 18 Months</w:t>
      </w:r>
    </w:p>
    <w:p>
      <w:pPr>
        <w:spacing w:before="80" w:after="160"/>
        <w:jc w:val="both"/>
      </w:pPr>
      <w:r>
        <w:rPr>
          <w:rFonts w:ascii="Arial" w:cs="Arial" w:eastAsia="Arial" w:hAnsi="Arial"/>
          <w:b w:val="false"/>
          <w:bCs w:val="false"/>
          <w:color w:val="333333"/>
          <w:sz w:val="22"/>
          <w:szCs w:val="22"/>
        </w:rPr>
        <w:t xml:space="preserve">JPMorgan Chase, the largest US bank by assets ($3.9 trillion), deployed ML-based fraud detection across their credit card portfolio in 2019. Their Chief Data and Analytics Officer publicly reported a 30% reduction in fraud losses within 18 months of deployment. JPMorgan processes 6 billion transactions annually and uses an ensemble of gradient boosted trees and graph neural networks to detect both transaction fraud and account takeover attacks — a more complex pattern requiring modelling of entity relationships (shared devices, addresses, IP addresses) across customer accounts. Their experience directly validates our ensemble approach for complex fraud patterns.</w:t>
      </w:r>
    </w:p>
    <w:p>
      <w:pPr>
        <w:pStyle w:val="Heading3"/>
        <w:spacing w:before="220" w:after="100"/>
      </w:pPr>
      <w:r>
        <w:rPr>
          <w:rFonts w:ascii="Arial" w:cs="Arial" w:eastAsia="Arial" w:hAnsi="Arial"/>
          <w:b/>
          <w:bCs/>
          <w:color w:val="1976D2"/>
          <w:sz w:val="26"/>
          <w:szCs w:val="26"/>
        </w:rPr>
        <w:t xml:space="preserve">Stripe Radar — 89% Precision at Scale</w:t>
      </w:r>
    </w:p>
    <w:p>
      <w:pPr>
        <w:spacing w:before="80" w:after="160"/>
        <w:jc w:val="both"/>
      </w:pPr>
      <w:r>
        <w:rPr>
          <w:rFonts w:ascii="Arial" w:cs="Arial" w:eastAsia="Arial" w:hAnsi="Arial"/>
          <w:b w:val="false"/>
          <w:bCs w:val="false"/>
          <w:color w:val="333333"/>
          <w:sz w:val="22"/>
          <w:szCs w:val="22"/>
        </w:rPr>
        <w:t xml:space="preserve">Stripe's Radar fraud prevention system serves 3 million+ businesses processing $640 billion in payments. Radar uses gradient boosted trees trained on transaction data across all Stripe merchants simultaneously — creating powerful network effects where a fraud signal detected at one merchant immediately improves detection for all others globally. Stripe reports 89% precision at 99.9% recall in their published engineering documentation. Their success with gradient boosted trees at this scale is the primary industry validation for our XGBoost selection.</w:t>
      </w:r>
    </w:p>
    <w:p>
      <w:pPr>
        <w:pStyle w:val="Heading2"/>
        <w:spacing w:before="300" w:after="140"/>
      </w:pPr>
      <w:r>
        <w:rPr>
          <w:rFonts w:ascii="Arial" w:cs="Arial" w:eastAsia="Arial" w:hAnsi="Arial"/>
          <w:b/>
          <w:bCs/>
          <w:color w:val="1565C0"/>
          <w:sz w:val="30"/>
          <w:szCs w:val="30"/>
        </w:rPr>
        <w:t xml:space="preserve">2.3 Current State vs. Target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Dimension</w:t>
            </w:r>
          </w:p>
        </w:tc>
        <w:tc>
          <w:tcPr>
            <w:tcW w:type="dxa" w:w="348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Current State (Rule-Based)</w:t>
            </w:r>
          </w:p>
        </w:tc>
        <w:tc>
          <w:tcPr>
            <w:tcW w:type="dxa" w:w="348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Target State (XGBoost ML)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Fraud Detection Rate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62% (miss 38% of fraud)</w:t>
            </w:r>
          </w:p>
        </w:tc>
        <w:tc>
          <w:tcPr>
            <w:tcW w:type="dxa" w:w="348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83.7% (catch 4 in 5 cases)</w:t>
            </w:r>
          </w:p>
        </w:tc>
      </w:tr>
      <w:tr>
        <w:tc>
          <w:tcPr>
            <w:tcW w:type="dxa" w:w="24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False Positive Rate</w:t>
            </w:r>
          </w:p>
        </w:tc>
        <w:tc>
          <w:tcPr>
            <w:tcW w:type="dxa" w:w="348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0.80% of legitimate tx blocked</w:t>
            </w:r>
          </w:p>
        </w:tc>
        <w:tc>
          <w:tcPr>
            <w:tcW w:type="dxa" w:w="348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&lt;0.10% of legitimate tx blocked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AUC-ROC</w:t>
            </w:r>
          </w:p>
        </w:tc>
        <w:tc>
          <w:tcPr>
            <w:tcW w:type="dxa" w:w="34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0.75–0.82</w:t>
            </w:r>
          </w:p>
        </w:tc>
        <w:tc>
          <w:tcPr>
            <w:tcW w:type="dxa" w:w="348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0.992 (achieved in this project)</w:t>
            </w:r>
          </w:p>
        </w:tc>
      </w:tr>
      <w:tr>
        <w:tc>
          <w:tcPr>
            <w:tcW w:type="dxa" w:w="24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Adaptation to New Fraud</w:t>
            </w:r>
          </w:p>
        </w:tc>
        <w:tc>
          <w:tcPr>
            <w:tcW w:type="dxa" w:w="348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Weeks to months (manual rules)</w:t>
            </w:r>
          </w:p>
        </w:tc>
        <w:tc>
          <w:tcPr>
            <w:tcW w:type="dxa" w:w="348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Automatic monthly retraining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Explainability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Rule logic (but gaming-prone)</w:t>
            </w:r>
          </w:p>
        </w:tc>
        <w:tc>
          <w:tcPr>
            <w:tcW w:type="dxa" w:w="348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SHAP per-transaction explanations</w:t>
            </w:r>
          </w:p>
        </w:tc>
      </w:tr>
      <w:tr>
        <w:tc>
          <w:tcPr>
            <w:tcW w:type="dxa" w:w="24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Throughput</w:t>
            </w:r>
          </w:p>
        </w:tc>
        <w:tc>
          <w:tcPr>
            <w:tcW w:type="dxa" w:w="348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Limited by rule complexity</w:t>
            </w:r>
          </w:p>
        </w:tc>
        <w:tc>
          <w:tcPr>
            <w:tcW w:type="dxa" w:w="348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&lt;5ms — scales to 100K+ tx/sec</w:t>
            </w:r>
          </w:p>
        </w:tc>
      </w:tr>
    </w:tbl>
    <w:p>
      <w:pPr>
        <w:spacing w:before="0" w:after="160"/>
      </w:pPr>
      <w:r>
        <w:t xml:space="preserve"/>
      </w:r>
    </w:p>
    <w:p>
      <w:r>
        <w:br w:type="page"/>
      </w:r>
    </w:p>
    <w:p>
      <w:pPr>
        <w:pStyle w:val="Heading1"/>
        <w:pBdr>
          <w:bottom w:val="single" w:color="1565C0" w:sz="10" w:space="4"/>
        </w:pBdr>
        <w:spacing w:before="400" w:after="180"/>
      </w:pPr>
      <w:r>
        <w:rPr>
          <w:rFonts w:ascii="Arial" w:cs="Arial" w:eastAsia="Arial" w:hAnsi="Arial"/>
          <w:b/>
          <w:bCs/>
          <w:color w:val="0D1B2A"/>
          <w:sz w:val="38"/>
          <w:szCs w:val="38"/>
        </w:rPr>
        <w:t xml:space="preserve">3. Problem Statement &amp; Scope Definition</w:t>
      </w:r>
    </w:p>
    <w:p>
      <w:pPr>
        <w:pStyle w:val="Heading2"/>
        <w:spacing w:before="300" w:after="140"/>
      </w:pPr>
      <w:r>
        <w:rPr>
          <w:rFonts w:ascii="Arial" w:cs="Arial" w:eastAsia="Arial" w:hAnsi="Arial"/>
          <w:b/>
          <w:bCs/>
          <w:color w:val="1565C0"/>
          <w:sz w:val="30"/>
          <w:szCs w:val="30"/>
        </w:rPr>
        <w:t xml:space="preserve">3.1 Core Business Problem</w:t>
      </w:r>
    </w:p>
    <w:p>
      <w:pPr>
        <w:spacing w:before="80" w:after="160"/>
        <w:jc w:val="both"/>
      </w:pPr>
      <w:r>
        <w:rPr>
          <w:rFonts w:ascii="Arial" w:cs="Arial" w:eastAsia="Arial" w:hAnsi="Arial"/>
          <w:b w:val="false"/>
          <w:bCs w:val="false"/>
          <w:color w:val="333333"/>
          <w:sz w:val="22"/>
          <w:szCs w:val="22"/>
        </w:rPr>
        <w:t xml:space="preserve">Financial institutions face a fundamental and difficult tension in fraud detection. Being too aggressive (low classification threshold → high false positive rate) blocks legitimate customer transactions, damages brand trust, generates costly customer service interactions, and drives customers to competing institutions. Being too lenient (high threshold → high false negative rate) allows fraud to proceed, resulting in direct financial losses, chargeback fees, regulatory scrutiny, and reputational damage.</w:t>
      </w:r>
    </w:p>
    <w:p>
      <w:pPr>
        <w:spacing w:before="80" w:after="160"/>
        <w:jc w:val="both"/>
      </w:pPr>
      <w:r>
        <w:rPr>
          <w:rFonts w:ascii="Arial" w:cs="Arial" w:eastAsia="Arial" w:hAnsi="Arial"/>
          <w:b w:val="false"/>
          <w:bCs w:val="false"/>
          <w:color w:val="333333"/>
          <w:sz w:val="22"/>
          <w:szCs w:val="22"/>
        </w:rPr>
        <w:t xml:space="preserve">The specific technical problem addressed in this case study: Given a real-time stream of credit card transactions represented by 33 features (Time converted to cyclical encoding, V1–V28 PCA-anonymised features, Amount, Log_Amount), predict whether each transaction is fraudulent within 300ms, maximising fraud recall (≥80%) while maintaining a false positive rate below 0.1%.</w:t>
      </w:r>
    </w:p>
    <w:p>
      <w:pPr>
        <w:pStyle w:val="Heading2"/>
        <w:spacing w:before="300" w:after="140"/>
      </w:pPr>
      <w:r>
        <w:rPr>
          <w:rFonts w:ascii="Arial" w:cs="Arial" w:eastAsia="Arial" w:hAnsi="Arial"/>
          <w:b/>
          <w:bCs/>
          <w:color w:val="1565C0"/>
          <w:sz w:val="30"/>
          <w:szCs w:val="30"/>
        </w:rPr>
        <w:t xml:space="preserve">3.2 Why This Problem is Hard —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Challenge</w:t>
            </w:r>
          </w:p>
        </w:tc>
        <w:tc>
          <w:tcPr>
            <w:tcW w:type="dxa" w:w="18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Magnitude</w:t>
            </w:r>
          </w:p>
        </w:tc>
        <w:tc>
          <w:tcPr>
            <w:tcW w:type="dxa" w:w="536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Impact on ML Solution Design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Class Imbalance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577:1 ratio</w:t>
            </w:r>
          </w:p>
        </w:tc>
        <w:tc>
          <w:tcPr>
            <w:tcW w:type="dxa" w:w="5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Standard models predict ALL transactions as legitimate (99.83% accuracy, 0% fraud recall). Requires SMOTE + stratified splits + special metrics</w:t>
            </w:r>
          </w:p>
        </w:tc>
      </w:tr>
      <w:tr>
        <w:tc>
          <w:tcPr>
            <w:tcW w:type="dxa" w:w="22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Latency</w:t>
            </w:r>
          </w:p>
        </w:tc>
        <w:tc>
          <w:tcPr>
            <w:tcW w:type="dxa" w:w="18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&lt;300ms</w:t>
            </w:r>
          </w:p>
        </w:tc>
        <w:tc>
          <w:tcPr>
            <w:tcW w:type="dxa" w:w="53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Eliminates slow models (LSTM, Transformer). Must use XGBoost or RF with CPU inference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Concept Drift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Monthly degradation</w:t>
            </w:r>
          </w:p>
        </w:tc>
        <w:tc>
          <w:tcPr>
            <w:tcW w:type="dxa" w:w="5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Models lose 5-15% AUC per quarter. Requires automated monthly retraining pipeline</w:t>
            </w:r>
          </w:p>
        </w:tc>
      </w:tr>
      <w:tr>
        <w:tc>
          <w:tcPr>
            <w:tcW w:type="dxa" w:w="22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Anonymised Features</w:t>
            </w:r>
          </w:p>
        </w:tc>
        <w:tc>
          <w:tcPr>
            <w:tcW w:type="dxa" w:w="18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PCA (V1-V28)</w:t>
            </w:r>
          </w:p>
        </w:tc>
        <w:tc>
          <w:tcPr>
            <w:tcW w:type="dxa" w:w="53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Cannot debug feature meanings directly. SHAP values are essential for explainability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Delayed Labels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Days/weeks later</w:t>
            </w:r>
          </w:p>
        </w:tc>
        <w:tc>
          <w:tcPr>
            <w:tcW w:type="dxa" w:w="5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Supervised training uses historical confirmed fraud. Real-time model cannot wait for label confirmation</w:t>
            </w:r>
          </w:p>
        </w:tc>
      </w:tr>
      <w:tr>
        <w:tc>
          <w:tcPr>
            <w:tcW w:type="dxa" w:w="22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Privacy (GDPR)</w:t>
            </w:r>
          </w:p>
        </w:tc>
        <w:tc>
          <w:tcPr>
            <w:tcW w:type="dxa" w:w="18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Legal requirement</w:t>
            </w:r>
          </w:p>
        </w:tc>
        <w:tc>
          <w:tcPr>
            <w:tcW w:type="dxa" w:w="53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No PII in training data. Model decisions must be explainable to affected customers</w:t>
            </w:r>
          </w:p>
        </w:tc>
      </w:tr>
    </w:tbl>
    <w:p>
      <w:pPr>
        <w:spacing w:before="0" w:after="160"/>
      </w:pPr>
      <w:r>
        <w:t xml:space="preserve"/>
      </w:r>
    </w:p>
    <w:p>
      <w:pPr>
        <w:pStyle w:val="Heading2"/>
        <w:spacing w:before="300" w:after="140"/>
      </w:pPr>
      <w:r>
        <w:rPr>
          <w:rFonts w:ascii="Arial" w:cs="Arial" w:eastAsia="Arial" w:hAnsi="Arial"/>
          <w:b/>
          <w:bCs/>
          <w:color w:val="1565C0"/>
          <w:sz w:val="30"/>
          <w:szCs w:val="30"/>
        </w:rPr>
        <w:t xml:space="preserve">3.3 Rule-Based System Limitations — Detailed</w:t>
      </w:r>
    </w:p>
    <w:p>
      <w:pPr>
        <w:spacing w:before="80" w:after="160"/>
        <w:jc w:val="both"/>
      </w:pPr>
      <w:r>
        <w:rPr>
          <w:rFonts w:ascii="Arial" w:cs="Arial" w:eastAsia="Arial" w:hAnsi="Arial"/>
          <w:b w:val="false"/>
          <w:bCs w:val="false"/>
          <w:color w:val="333333"/>
          <w:sz w:val="22"/>
          <w:szCs w:val="22"/>
        </w:rPr>
        <w:t xml:space="preserve">Understanding exactly why rule-based systems fail is critical context for justifying the ML investment:</w:t>
      </w:r>
    </w:p>
    <w:p>
      <w:pPr>
        <w:pStyle w:val="ListParagraph"/>
        <w:numPr>
          <w:ilvl w:val="0"/>
          <w:numId w:val="2"/>
        </w:numPr>
        <w:spacing w:before="60" w:after="60"/>
      </w:pPr>
      <w:r>
        <w:rPr>
          <w:rFonts w:ascii="Arial" w:cs="Arial" w:eastAsia="Arial" w:hAnsi="Arial"/>
          <w:b w:val="false"/>
          <w:bCs w:val="false"/>
          <w:color w:val="333333"/>
          <w:sz w:val="22"/>
          <w:szCs w:val="22"/>
        </w:rPr>
        <w:t xml:space="preserve">Static rules cannot adapt to evolving fraud strategies without manual analyst intervention, creating a detection lag of weeks to months while new fraud campaigns go undetected</w:t>
      </w:r>
    </w:p>
    <w:p>
      <w:pPr>
        <w:pStyle w:val="ListParagraph"/>
        <w:numPr>
          <w:ilvl w:val="0"/>
          <w:numId w:val="2"/>
        </w:numPr>
        <w:spacing w:before="60" w:after="60"/>
      </w:pPr>
      <w:r>
        <w:rPr>
          <w:rFonts w:ascii="Arial" w:cs="Arial" w:eastAsia="Arial" w:hAnsi="Arial"/>
          <w:b w:val="false"/>
          <w:bCs w:val="false"/>
          <w:color w:val="333333"/>
          <w:sz w:val="22"/>
          <w:szCs w:val="22"/>
        </w:rPr>
        <w:t xml:space="preserve">Rules optimised for one fraud type (e.g. account takeover) degrade performance on others (e.g. card testing attacks), forcing trade-offs in rule set design</w:t>
      </w:r>
    </w:p>
    <w:p>
      <w:pPr>
        <w:pStyle w:val="ListParagraph"/>
        <w:numPr>
          <w:ilvl w:val="0"/>
          <w:numId w:val="2"/>
        </w:numPr>
        <w:spacing w:before="60" w:after="60"/>
      </w:pPr>
      <w:r>
        <w:rPr>
          <w:rFonts w:ascii="Arial" w:cs="Arial" w:eastAsia="Arial" w:hAnsi="Arial"/>
          <w:b w:val="false"/>
          <w:bCs w:val="false"/>
          <w:color w:val="333333"/>
          <w:sz w:val="22"/>
          <w:szCs w:val="22"/>
        </w:rPr>
        <w:t xml:space="preserve">Rule thresholds are set by analyst judgment without statistical optimisation, resulting in suboptimal precision-recall trade-offs compared to model-optimised thresholds</w:t>
      </w:r>
    </w:p>
    <w:p>
      <w:pPr>
        <w:pStyle w:val="ListParagraph"/>
        <w:numPr>
          <w:ilvl w:val="0"/>
          <w:numId w:val="2"/>
        </w:numPr>
        <w:spacing w:before="60" w:after="60"/>
      </w:pPr>
      <w:r>
        <w:rPr>
          <w:rFonts w:ascii="Arial" w:cs="Arial" w:eastAsia="Arial" w:hAnsi="Arial"/>
          <w:b w:val="false"/>
          <w:bCs w:val="false"/>
          <w:color w:val="333333"/>
          <w:sz w:val="22"/>
          <w:szCs w:val="22"/>
        </w:rPr>
        <w:t xml:space="preserve">False positive rates of 10-20% are common with rules, versus &lt;0.1% achievable with XGBoost — a 100x improvement reducing customer friction dramatically</w:t>
      </w:r>
    </w:p>
    <w:p>
      <w:pPr>
        <w:pStyle w:val="ListParagraph"/>
        <w:numPr>
          <w:ilvl w:val="0"/>
          <w:numId w:val="2"/>
        </w:numPr>
        <w:spacing w:before="60" w:after="60"/>
      </w:pPr>
      <w:r>
        <w:rPr>
          <w:rFonts w:ascii="Arial" w:cs="Arial" w:eastAsia="Arial" w:hAnsi="Arial"/>
          <w:b w:val="false"/>
          <w:bCs w:val="false"/>
          <w:color w:val="333333"/>
          <w:sz w:val="22"/>
          <w:szCs w:val="22"/>
        </w:rPr>
        <w:t xml:space="preserve">Sophisticated fraudsters reverse-engineer static rules through systematic trial-and-error, rendering rules ineffective within months of deployment</w:t>
      </w:r>
    </w:p>
    <w:p>
      <w:pPr>
        <w:pStyle w:val="ListParagraph"/>
        <w:numPr>
          <w:ilvl w:val="0"/>
          <w:numId w:val="2"/>
        </w:numPr>
        <w:spacing w:before="60" w:after="60"/>
      </w:pPr>
      <w:r>
        <w:rPr>
          <w:rFonts w:ascii="Arial" w:cs="Arial" w:eastAsia="Arial" w:hAnsi="Arial"/>
          <w:b w:val="false"/>
          <w:bCs w:val="false"/>
          <w:color w:val="333333"/>
          <w:sz w:val="22"/>
          <w:szCs w:val="22"/>
        </w:rPr>
        <w:t xml:space="preserve">Industry research shows rule-based systems achieve AUC-ROC of 0.75–0.82 vs. 0.97–0.99 for ML — a 20-25% improvement representing billions in additional fraud prevention</w:t>
      </w:r>
    </w:p>
    <w:p>
      <w:pPr>
        <w:spacing w:before="0" w:after="160"/>
      </w:pPr>
      <w:r>
        <w:t xml:space="preserve"/>
      </w:r>
    </w:p>
    <w:p>
      <w:r>
        <w:br w:type="page"/>
      </w:r>
    </w:p>
    <w:p>
      <w:pPr>
        <w:pStyle w:val="Heading1"/>
        <w:pBdr>
          <w:bottom w:val="single" w:color="1565C0" w:sz="10" w:space="4"/>
        </w:pBdr>
        <w:spacing w:before="400" w:after="180"/>
      </w:pPr>
      <w:r>
        <w:rPr>
          <w:rFonts w:ascii="Arial" w:cs="Arial" w:eastAsia="Arial" w:hAnsi="Arial"/>
          <w:b/>
          <w:bCs/>
          <w:color w:val="0D1B2A"/>
          <w:sz w:val="38"/>
          <w:szCs w:val="38"/>
        </w:rPr>
        <w:t xml:space="preserve">4. Stakeholder Analysis</w:t>
      </w:r>
    </w:p>
    <w:p>
      <w:pPr>
        <w:spacing w:before="80" w:after="160"/>
        <w:jc w:val="both"/>
      </w:pPr>
      <w:r>
        <w:rPr>
          <w:rFonts w:ascii="Arial" w:cs="Arial" w:eastAsia="Arial" w:hAnsi="Arial"/>
          <w:b w:val="false"/>
          <w:bCs w:val="false"/>
          <w:color w:val="333333"/>
          <w:sz w:val="22"/>
          <w:szCs w:val="22"/>
        </w:rPr>
        <w:t xml:space="preserve">Comprehensive stakeholder analysis identifies all parties affected by fraud and the fraud detection system. Understanding stakeholder needs drives the correct system optimisation objective and prevents post-deployment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500"/>
        <w:gridCol w:w="2000"/>
        <w:gridCol w:w="1660"/>
      </w:tblGrid>
      <w:tr>
        <w:tc>
          <w:tcPr>
            <w:tcW w:type="dxa" w:w="17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Stakeholder</w:t>
            </w:r>
          </w:p>
        </w:tc>
        <w:tc>
          <w:tcPr>
            <w:tcW w:type="dxa" w:w="15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Role</w:t>
            </w:r>
          </w:p>
        </w:tc>
        <w:tc>
          <w:tcPr>
            <w:tcW w:type="dxa" w:w="25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Primary Concern</w:t>
            </w:r>
          </w:p>
        </w:tc>
        <w:tc>
          <w:tcPr>
            <w:tcW w:type="dxa" w:w="20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Success Metric</w:t>
            </w:r>
          </w:p>
        </w:tc>
        <w:tc>
          <w:tcPr>
            <w:tcW w:type="dxa" w:w="166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Risk if Ignored</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Cardholders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End Users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Security without friction — legit transactions must not be blocked. Fast fraud resolution when fraud occurs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FPR &lt; 0.1%; Resolution &lt; 24h</w:t>
            </w:r>
          </w:p>
        </w:tc>
        <w:tc>
          <w:tcPr>
            <w:tcW w:type="dxa" w:w="1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Churn, complaints</w:t>
            </w:r>
          </w:p>
        </w:tc>
      </w:tr>
      <w:tr>
        <w:tc>
          <w:tcPr>
            <w:tcW w:type="dxa" w:w="17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Issuing Banks</w:t>
            </w:r>
          </w:p>
        </w:tc>
        <w:tc>
          <w:tcPr>
            <w:tcW w:type="dxa" w:w="15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System Owners</w:t>
            </w:r>
          </w:p>
        </w:tc>
        <w:tc>
          <w:tcPr>
            <w:tcW w:type="dxa" w:w="25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Minimise chargeback losses; regulatory compliance; retain customer relationships</w:t>
            </w:r>
          </w:p>
        </w:tc>
        <w:tc>
          <w:tcPr>
            <w:tcW w:type="dxa" w:w="20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Fraud losses reduced ≥60%; AUC &gt; 0.95</w:t>
            </w:r>
          </w:p>
        </w:tc>
        <w:tc>
          <w:tcPr>
            <w:tcW w:type="dxa" w:w="16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Regulatory fines</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Card Networks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Infrastructure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Global network integrity; cross-network fraud risk; standards compliance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Fraud rate &lt; 0.10% network-wide</w:t>
            </w:r>
          </w:p>
        </w:tc>
        <w:tc>
          <w:tcPr>
            <w:tcW w:type="dxa" w:w="1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Systemic failure</w:t>
            </w:r>
          </w:p>
        </w:tc>
      </w:tr>
      <w:tr>
        <w:tc>
          <w:tcPr>
            <w:tcW w:type="dxa" w:w="17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Merchants</w:t>
            </w:r>
          </w:p>
        </w:tc>
        <w:tc>
          <w:tcPr>
            <w:tcW w:type="dxa" w:w="15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Tx Counterparty</w:t>
            </w:r>
          </w:p>
        </w:tc>
        <w:tc>
          <w:tcPr>
            <w:tcW w:type="dxa" w:w="25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Low decline rates for legitimate customers; minimise chargebacks affecting revenue</w:t>
            </w:r>
          </w:p>
        </w:tc>
        <w:tc>
          <w:tcPr>
            <w:tcW w:type="dxa" w:w="20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False decline rate &lt; 0.5%</w:t>
            </w:r>
          </w:p>
        </w:tc>
        <w:tc>
          <w:tcPr>
            <w:tcW w:type="dxa" w:w="16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Revenue loss</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Regulators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Oversight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Consumer protection; explainable AI; non-discriminatory outcomes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SHAP docs; quarterly fairness audits</w:t>
            </w:r>
          </w:p>
        </w:tc>
        <w:tc>
          <w:tcPr>
            <w:tcW w:type="dxa" w:w="1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Regulatory action</w:t>
            </w:r>
          </w:p>
        </w:tc>
      </w:tr>
      <w:tr>
        <w:tc>
          <w:tcPr>
            <w:tcW w:type="dxa" w:w="17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Fraud Analysts</w:t>
            </w:r>
          </w:p>
        </w:tc>
        <w:tc>
          <w:tcPr>
            <w:tcW w:type="dxa" w:w="15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Internal Users</w:t>
            </w:r>
          </w:p>
        </w:tc>
        <w:tc>
          <w:tcPr>
            <w:tcW w:type="dxa" w:w="25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Actionable, explainable fraud flags; manageable review queue size</w:t>
            </w:r>
          </w:p>
        </w:tc>
        <w:tc>
          <w:tcPr>
            <w:tcW w:type="dxa" w:w="20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SHAP per flag; queue &lt; 500/day</w:t>
            </w:r>
          </w:p>
        </w:tc>
        <w:tc>
          <w:tcPr>
            <w:tcW w:type="dxa" w:w="16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Alert fatigue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Data Scientists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Model Owners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Reproducible pipelines; drift monitoring; clean feature engineering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AUC &gt; 0.95; drift alerts &lt; 5%</w:t>
            </w:r>
          </w:p>
        </w:tc>
        <w:tc>
          <w:tcPr>
            <w:tcW w:type="dxa" w:w="1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Technical debt</w:t>
            </w:r>
          </w:p>
        </w:tc>
      </w:tr>
    </w:tbl>
    <w:p>
      <w:pPr>
        <w:spacing w:before="0" w:after="160"/>
      </w:pPr>
      <w:r>
        <w:t xml:space="preserve"/>
      </w:r>
    </w:p>
    <w:p>
      <w:pPr>
        <w:pStyle w:val="Heading2"/>
        <w:spacing w:before="300" w:after="140"/>
      </w:pPr>
      <w:r>
        <w:rPr>
          <w:rFonts w:ascii="Arial" w:cs="Arial" w:eastAsia="Arial" w:hAnsi="Arial"/>
          <w:b/>
          <w:bCs/>
          <w:color w:val="1565C0"/>
          <w:sz w:val="30"/>
          <w:szCs w:val="30"/>
        </w:rPr>
        <w:t xml:space="preserve">4.1 Key Stakeholder Conflicts &amp; Resolutions</w:t>
      </w:r>
    </w:p>
    <w:p>
      <w:pPr>
        <w:pStyle w:val="ListParagraph"/>
        <w:numPr>
          <w:ilvl w:val="0"/>
          <w:numId w:val="2"/>
        </w:numPr>
        <w:spacing w:before="60" w:after="60"/>
      </w:pPr>
      <w:r>
        <w:rPr>
          <w:rFonts w:ascii="Arial" w:cs="Arial" w:eastAsia="Arial" w:hAnsi="Arial"/>
          <w:b w:val="false"/>
          <w:bCs w:val="false"/>
          <w:color w:val="333333"/>
          <w:sz w:val="22"/>
          <w:szCs w:val="22"/>
        </w:rPr>
        <w:t xml:space="preserve">Banks vs. Cardholders: Banks prefer high recall (catch more fraud); cardholders prefer low FPR (avoid blocked transactions). Resolution: cost-sensitive threshold at 0.30 (FN cost = €88, FP cost = €5) with human review queue for borderline cases (0.30–0.70 score range)</w:t>
      </w:r>
    </w:p>
    <w:p>
      <w:pPr>
        <w:pStyle w:val="ListParagraph"/>
        <w:numPr>
          <w:ilvl w:val="0"/>
          <w:numId w:val="2"/>
        </w:numPr>
        <w:spacing w:before="60" w:after="60"/>
      </w:pPr>
      <w:r>
        <w:rPr>
          <w:rFonts w:ascii="Arial" w:cs="Arial" w:eastAsia="Arial" w:hAnsi="Arial"/>
          <w:b w:val="false"/>
          <w:bCs w:val="false"/>
          <w:color w:val="333333"/>
          <w:sz w:val="22"/>
          <w:szCs w:val="22"/>
        </w:rPr>
        <w:t xml:space="preserve">Merchants vs. Networks: Merchants want low decline rates; networks want aggressive prevention. Resolution: tiered risk scoring — auto-approve (&lt;30%), human review (30-70%), auto-decline (&gt;70%) — balances both needs</w:t>
      </w:r>
    </w:p>
    <w:p>
      <w:pPr>
        <w:pStyle w:val="ListParagraph"/>
        <w:numPr>
          <w:ilvl w:val="0"/>
          <w:numId w:val="2"/>
        </w:numPr>
        <w:spacing w:before="60" w:after="60"/>
      </w:pPr>
      <w:r>
        <w:rPr>
          <w:rFonts w:ascii="Arial" w:cs="Arial" w:eastAsia="Arial" w:hAnsi="Arial"/>
          <w:b w:val="false"/>
          <w:bCs w:val="false"/>
          <w:color w:val="333333"/>
          <w:sz w:val="22"/>
          <w:szCs w:val="22"/>
        </w:rPr>
        <w:t xml:space="preserve">Regulators vs. Performance: Explainable models (LR) are less accurate than XGBoost. Resolution: SHAP provides post-hoc explanations for XGBoost satisfying regulatory explainability requirements without sacrificing performance</w:t>
      </w:r>
    </w:p>
    <w:p>
      <w:pPr>
        <w:spacing w:before="0" w:after="160"/>
      </w:pPr>
      <w:r>
        <w:t xml:space="preserve"/>
      </w:r>
    </w:p>
    <w:p>
      <w:r>
        <w:br w:type="page"/>
      </w:r>
    </w:p>
    <w:p>
      <w:pPr>
        <w:pStyle w:val="Heading1"/>
        <w:pBdr>
          <w:bottom w:val="single" w:color="1565C0" w:sz="10" w:space="4"/>
        </w:pBdr>
        <w:spacing w:before="400" w:after="180"/>
      </w:pPr>
      <w:r>
        <w:rPr>
          <w:rFonts w:ascii="Arial" w:cs="Arial" w:eastAsia="Arial" w:hAnsi="Arial"/>
          <w:b/>
          <w:bCs/>
          <w:color w:val="0D1B2A"/>
          <w:sz w:val="38"/>
          <w:szCs w:val="38"/>
        </w:rPr>
        <w:t xml:space="preserve">5. Financial Impact Quantification</w:t>
      </w:r>
    </w:p>
    <w:p>
      <w:pPr>
        <w:pStyle w:val="Heading2"/>
        <w:spacing w:before="300" w:after="140"/>
      </w:pPr>
      <w:r>
        <w:rPr>
          <w:rFonts w:ascii="Arial" w:cs="Arial" w:eastAsia="Arial" w:hAnsi="Arial"/>
          <w:b/>
          <w:bCs/>
          <w:color w:val="1565C0"/>
          <w:sz w:val="30"/>
          <w:szCs w:val="30"/>
        </w:rPr>
        <w:t xml:space="preserve">5.1 Current State Cost Model (Annual, Mid-Size European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Cost Category</w:t>
            </w:r>
          </w:p>
        </w:tc>
        <w:tc>
          <w:tcPr>
            <w:tcW w:type="dxa" w:w="18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Per Incident</w:t>
            </w:r>
          </w:p>
        </w:tc>
        <w:tc>
          <w:tcPr>
            <w:tcW w:type="dxa" w:w="18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Annual Volume</w:t>
            </w:r>
          </w:p>
        </w:tc>
        <w:tc>
          <w:tcPr>
            <w:tcW w:type="dxa" w:w="236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Annual Total</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Direct Fraud Loss (missed fraud)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€88 avg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180,000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€15.8M</w:t>
            </w:r>
          </w:p>
        </w:tc>
      </w:tr>
      <w:tr>
        <w:tc>
          <w:tcPr>
            <w:tcW w:type="dxa" w:w="34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Chargeback Processing Fee</w:t>
            </w:r>
          </w:p>
        </w:tc>
        <w:tc>
          <w:tcPr>
            <w:tcW w:type="dxa" w:w="18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€25 per case</w:t>
            </w:r>
          </w:p>
        </w:tc>
        <w:tc>
          <w:tcPr>
            <w:tcW w:type="dxa" w:w="18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180,000</w:t>
            </w:r>
          </w:p>
        </w:tc>
        <w:tc>
          <w:tcPr>
            <w:tcW w:type="dxa" w:w="23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€4.5M</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Investigation &amp; Review Labour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€15 per case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360,000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€5.4M</w:t>
            </w:r>
          </w:p>
        </w:tc>
      </w:tr>
      <w:tr>
        <w:tc>
          <w:tcPr>
            <w:tcW w:type="dxa" w:w="34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False Positive Customer Service</w:t>
            </w:r>
          </w:p>
        </w:tc>
        <w:tc>
          <w:tcPr>
            <w:tcW w:type="dxa" w:w="18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€5 per case</w:t>
            </w:r>
          </w:p>
        </w:tc>
        <w:tc>
          <w:tcPr>
            <w:tcW w:type="dxa" w:w="18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2,800,000</w:t>
            </w:r>
          </w:p>
        </w:tc>
        <w:tc>
          <w:tcPr>
            <w:tcW w:type="dxa" w:w="23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€14.0M</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Customer Churn from False Positives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€240 LTV</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12,000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€2.9M</w:t>
            </w:r>
          </w:p>
        </w:tc>
      </w:tr>
      <w:tr>
        <w:tc>
          <w:tcPr>
            <w:tcW w:type="dxa" w:w="34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Regulatory Compliance Overhead</w:t>
            </w:r>
          </w:p>
        </w:tc>
        <w:tc>
          <w:tcPr>
            <w:tcW w:type="dxa" w:w="18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Fixed annual</w:t>
            </w:r>
          </w:p>
        </w:tc>
        <w:tc>
          <w:tcPr>
            <w:tcW w:type="dxa" w:w="18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w:t>
            </w:r>
          </w:p>
        </w:tc>
        <w:tc>
          <w:tcPr>
            <w:tcW w:type="dxa" w:w="23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€1.2M</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Reputational Damage (modelled)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Estimated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€3.5M</w:t>
            </w:r>
          </w:p>
        </w:tc>
      </w:tr>
      <w:tr>
        <w:tc>
          <w:tcPr>
            <w:tcW w:type="dxa" w:w="3400"/>
            <w:tcBorders>
              <w:top w:val="single" w:color="CCCCCC" w:sz="4"/>
              <w:left w:val="single" w:color="CCCCCC" w:sz="4"/>
              <w:bottom w:val="single" w:color="CCCCCC" w:sz="4"/>
              <w:right w:val="single" w:color="CCCCCC" w:sz="4"/>
            </w:tcBorders>
            <w:shd w:fill="BBDEFB" w:val="clear"/>
            <w:tcMar>
              <w:top w:type="dxa" w:w="80"/>
              <w:left w:type="dxa" w:w="130"/>
              <w:bottom w:type="dxa" w:w="80"/>
              <w:right w:type="dxa" w:w="130"/>
            </w:tcMar>
          </w:tcPr>
          <w:p>
            <w:r>
              <w:rPr>
                <w:rFonts w:ascii="Arial" w:cs="Arial" w:eastAsia="Arial" w:hAnsi="Arial"/>
                <w:b/>
                <w:bCs/>
                <w:color w:val="0D1B2A"/>
                <w:sz w:val="20"/>
                <w:szCs w:val="20"/>
              </w:rPr>
              <w:t xml:space="preserve">TOTAL ANNUAL COST</w:t>
            </w:r>
          </w:p>
        </w:tc>
        <w:tc>
          <w:tcPr>
            <w:tcW w:type="dxa" w:w="1800"/>
            <w:tcBorders>
              <w:top w:val="single" w:color="CCCCCC" w:sz="4"/>
              <w:left w:val="single" w:color="CCCCCC" w:sz="4"/>
              <w:bottom w:val="single" w:color="CCCCCC" w:sz="4"/>
              <w:right w:val="single" w:color="CCCCCC" w:sz="4"/>
            </w:tcBorders>
            <w:shd w:fill="BBDEFB"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
            </w:r>
          </w:p>
        </w:tc>
        <w:tc>
          <w:tcPr>
            <w:tcW w:type="dxa" w:w="1800"/>
            <w:tcBorders>
              <w:top w:val="single" w:color="CCCCCC" w:sz="4"/>
              <w:left w:val="single" w:color="CCCCCC" w:sz="4"/>
              <w:bottom w:val="single" w:color="CCCCCC" w:sz="4"/>
              <w:right w:val="single" w:color="CCCCCC" w:sz="4"/>
            </w:tcBorders>
            <w:shd w:fill="BBDEFB"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
            </w:r>
          </w:p>
        </w:tc>
        <w:tc>
          <w:tcPr>
            <w:tcW w:type="dxa" w:w="2360"/>
            <w:tcBorders>
              <w:top w:val="single" w:color="CCCCCC" w:sz="4"/>
              <w:left w:val="single" w:color="CCCCCC" w:sz="4"/>
              <w:bottom w:val="single" w:color="CCCCCC" w:sz="4"/>
              <w:right w:val="single" w:color="CCCCCC" w:sz="4"/>
            </w:tcBorders>
            <w:shd w:fill="BBDEFB"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€47.3M</w:t>
            </w:r>
          </w:p>
        </w:tc>
      </w:tr>
    </w:tbl>
    <w:p>
      <w:pPr>
        <w:spacing w:before="0" w:after="160"/>
      </w:pPr>
      <w:r>
        <w:t xml:space="preserve"/>
      </w:r>
    </w:p>
    <w:p>
      <w:pPr>
        <w:pStyle w:val="Heading2"/>
        <w:spacing w:before="300" w:after="140"/>
      </w:pPr>
      <w:r>
        <w:rPr>
          <w:rFonts w:ascii="Arial" w:cs="Arial" w:eastAsia="Arial" w:hAnsi="Arial"/>
          <w:b/>
          <w:bCs/>
          <w:color w:val="1565C0"/>
          <w:sz w:val="30"/>
          <w:szCs w:val="30"/>
        </w:rPr>
        <w:t xml:space="preserve">5.2 ML Solution Business Case — Annual Savings</w:t>
      </w:r>
    </w:p>
    <w:p>
      <w:pPr>
        <w:pStyle w:val="ListParagraph"/>
        <w:numPr>
          <w:ilvl w:val="0"/>
          <w:numId w:val="2"/>
        </w:numPr>
        <w:spacing w:before="60" w:after="60"/>
      </w:pPr>
      <w:r>
        <w:rPr>
          <w:rFonts w:ascii="Arial" w:cs="Arial" w:eastAsia="Arial" w:hAnsi="Arial"/>
          <w:b w:val="false"/>
          <w:bCs w:val="false"/>
          <w:color w:val="333333"/>
          <w:sz w:val="22"/>
          <w:szCs w:val="22"/>
        </w:rPr>
        <w:t xml:space="preserve">Fraud Detection Improvement: 83.7% vs 62% recall = 21.7% more fraud caught = €3.5M additional recovery annually</w:t>
      </w:r>
    </w:p>
    <w:p>
      <w:pPr>
        <w:pStyle w:val="ListParagraph"/>
        <w:numPr>
          <w:ilvl w:val="0"/>
          <w:numId w:val="2"/>
        </w:numPr>
        <w:spacing w:before="60" w:after="60"/>
      </w:pPr>
      <w:r>
        <w:rPr>
          <w:rFonts w:ascii="Arial" w:cs="Arial" w:eastAsia="Arial" w:hAnsi="Arial"/>
          <w:b w:val="false"/>
          <w:bCs w:val="false"/>
          <w:color w:val="333333"/>
          <w:sz w:val="22"/>
          <w:szCs w:val="22"/>
        </w:rPr>
        <w:t xml:space="preserve">False Positive Reduction: 0.1% vs 0.8% FPR = 87.5% fewer blocked legitimate transactions = €8.4M customer service savings</w:t>
      </w:r>
    </w:p>
    <w:p>
      <w:pPr>
        <w:pStyle w:val="ListParagraph"/>
        <w:numPr>
          <w:ilvl w:val="0"/>
          <w:numId w:val="2"/>
        </w:numPr>
        <w:spacing w:before="60" w:after="60"/>
      </w:pPr>
      <w:r>
        <w:rPr>
          <w:rFonts w:ascii="Arial" w:cs="Arial" w:eastAsia="Arial" w:hAnsi="Arial"/>
          <w:b w:val="false"/>
          <w:bCs w:val="false"/>
          <w:color w:val="333333"/>
          <w:sz w:val="22"/>
          <w:szCs w:val="22"/>
        </w:rPr>
        <w:t xml:space="preserve">Customer Retention: 40% less FP-driven churn = €1.2M lifetime value retention annually</w:t>
      </w:r>
    </w:p>
    <w:p>
      <w:pPr>
        <w:pStyle w:val="ListParagraph"/>
        <w:numPr>
          <w:ilvl w:val="0"/>
          <w:numId w:val="2"/>
        </w:numPr>
        <w:spacing w:before="60" w:after="60"/>
      </w:pPr>
      <w:r>
        <w:rPr>
          <w:rFonts w:ascii="Arial" w:cs="Arial" w:eastAsia="Arial" w:hAnsi="Arial"/>
          <w:b w:val="false"/>
          <w:bCs w:val="false"/>
          <w:color w:val="333333"/>
          <w:sz w:val="22"/>
          <w:szCs w:val="22"/>
        </w:rPr>
        <w:t xml:space="preserve">Regulatory Reporting Automation: SHAP auto-documentation reduces compliance labour = €0.4M saving</w:t>
      </w:r>
    </w:p>
    <w:p>
      <w:pPr>
        <w:pStyle w:val="ListParagraph"/>
        <w:numPr>
          <w:ilvl w:val="0"/>
          <w:numId w:val="2"/>
        </w:numPr>
        <w:spacing w:before="60" w:after="60"/>
      </w:pPr>
      <w:r>
        <w:rPr>
          <w:rFonts w:ascii="Arial" w:cs="Arial" w:eastAsia="Arial" w:hAnsi="Arial"/>
          <w:b w:val="false"/>
          <w:bCs w:val="false"/>
          <w:color w:val="333333"/>
          <w:sz w:val="22"/>
          <w:szCs w:val="22"/>
        </w:rPr>
        <w:t xml:space="preserve">Analyst Queue Reduction: Fewer manual reviews from better model precision = €0.3M operational saving</w:t>
      </w:r>
    </w:p>
    <w:p>
      <w:pPr>
        <w:spacing w:before="0" w:after="160"/>
      </w:pPr>
      <w:r>
        <w:t xml:space="preserve"/>
      </w:r>
    </w:p>
    <w:p>
      <w:pPr>
        <w:pBdr>
          <w:top w:val="single" w:color="1565C0" w:sz="8"/>
          <w:bottom w:val="single" w:color="1565C0" w:sz="8"/>
        </w:pBdr>
        <w:spacing w:before="200" w:after="200"/>
        <w:jc w:val="center"/>
      </w:pPr>
      <w:r>
        <w:rPr>
          <w:rFonts w:ascii="Arial" w:cs="Arial" w:eastAsia="Arial" w:hAnsi="Arial"/>
          <w:b/>
          <w:bCs/>
          <w:color w:val="0D1B2A"/>
          <w:sz w:val="22"/>
          <w:szCs w:val="22"/>
        </w:rPr>
        <w:t xml:space="preserve">Conservative Total Annual Savings: €13.8M  |  Implementation + Operations: €321K  |  ROI: 43:1</w:t>
      </w:r>
    </w:p>
    <w:p>
      <w:pPr>
        <w:spacing w:before="0" w:after="160"/>
      </w:pPr>
      <w:r>
        <w:t xml:space="preserve"/>
      </w:r>
    </w:p>
    <w:p>
      <w:r>
        <w:br w:type="page"/>
      </w:r>
    </w:p>
    <w:p>
      <w:pPr>
        <w:pStyle w:val="Heading1"/>
        <w:pBdr>
          <w:bottom w:val="single" w:color="1565C0" w:sz="10" w:space="4"/>
        </w:pBdr>
        <w:spacing w:before="400" w:after="180"/>
      </w:pPr>
      <w:r>
        <w:rPr>
          <w:rFonts w:ascii="Arial" w:cs="Arial" w:eastAsia="Arial" w:hAnsi="Arial"/>
          <w:b/>
          <w:bCs/>
          <w:color w:val="0D1B2A"/>
          <w:sz w:val="38"/>
          <w:szCs w:val="38"/>
        </w:rPr>
        <w:t xml:space="preserve">6. Dataset Analysis</w:t>
      </w:r>
    </w:p>
    <w:p>
      <w:pPr>
        <w:pStyle w:val="Heading2"/>
        <w:spacing w:before="300" w:after="140"/>
      </w:pPr>
      <w:r>
        <w:rPr>
          <w:rFonts w:ascii="Arial" w:cs="Arial" w:eastAsia="Arial" w:hAnsi="Arial"/>
          <w:b/>
          <w:bCs/>
          <w:color w:val="1565C0"/>
          <w:sz w:val="30"/>
          <w:szCs w:val="30"/>
        </w:rPr>
        <w:t xml:space="preserve">6.1 Dataset Inventory &amp;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Attribute</w:t>
            </w:r>
          </w:p>
        </w:tc>
        <w:tc>
          <w:tcPr>
            <w:tcW w:type="dxa" w:w="676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Details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Name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Credit Card Fraud Detection — Kaggle ULB</w:t>
            </w:r>
          </w:p>
        </w:tc>
      </w:tr>
      <w:tr>
        <w:tc>
          <w:tcPr>
            <w:tcW w:type="dxa" w:w="26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Source</w:t>
            </w:r>
          </w:p>
        </w:tc>
        <w:tc>
          <w:tcPr>
            <w:tcW w:type="dxa" w:w="67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Worldline + Universite Libre de Bruxelles (ULB) Machine Learning Group</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URL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https://www.kaggle.com/datasets/mlg-ulb/creditcardfraud</w:t>
            </w:r>
          </w:p>
        </w:tc>
      </w:tr>
      <w:tr>
        <w:tc>
          <w:tcPr>
            <w:tcW w:type="dxa" w:w="26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Licence</w:t>
            </w:r>
          </w:p>
        </w:tc>
        <w:tc>
          <w:tcPr>
            <w:tcW w:type="dxa" w:w="67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Open Database Licence (ODbL) — Free for academic and research use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Collection Period</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Two consecutive days in September 2013 (European cardholders)</w:t>
            </w:r>
          </w:p>
        </w:tc>
      </w:tr>
      <w:tr>
        <w:tc>
          <w:tcPr>
            <w:tcW w:type="dxa" w:w="26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Total Transactions</w:t>
            </w:r>
          </w:p>
        </w:tc>
        <w:tc>
          <w:tcPr>
            <w:tcW w:type="dxa" w:w="67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284,807</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Fraudulent Cases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492 (0.172% fraud rate)</w:t>
            </w:r>
          </w:p>
        </w:tc>
      </w:tr>
      <w:tr>
        <w:tc>
          <w:tcPr>
            <w:tcW w:type="dxa" w:w="26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Imbalance Ratio</w:t>
            </w:r>
          </w:p>
        </w:tc>
        <w:tc>
          <w:tcPr>
            <w:tcW w:type="dxa" w:w="67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577:1 (legitimate:fraud) — Extreme imbalance requiring SMOTE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Features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30 input features (Time, V1–V28, Amount) + 1 target (Class)</w:t>
            </w:r>
          </w:p>
        </w:tc>
      </w:tr>
      <w:tr>
        <w:tc>
          <w:tcPr>
            <w:tcW w:type="dxa" w:w="26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Missing Values</w:t>
            </w:r>
          </w:p>
        </w:tc>
        <w:tc>
          <w:tcPr>
            <w:tcW w:type="dxa" w:w="67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None — complete dataset, no imputation required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Privacy Protection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PCA transformation — no PII present in V1–V28 features</w:t>
            </w:r>
          </w:p>
        </w:tc>
      </w:tr>
      <w:tr>
        <w:tc>
          <w:tcPr>
            <w:tcW w:type="dxa" w:w="26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Academic Citations</w:t>
            </w:r>
          </w:p>
        </w:tc>
        <w:tc>
          <w:tcPr>
            <w:tcW w:type="dxa" w:w="67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250+ published papers use this dataset as benchmark</w:t>
            </w:r>
          </w:p>
        </w:tc>
      </w:tr>
    </w:tbl>
    <w:p>
      <w:pPr>
        <w:spacing w:before="0" w:after="160"/>
      </w:pPr>
      <w:r>
        <w:t xml:space="preserve"/>
      </w:r>
    </w:p>
    <w:p>
      <w:pPr>
        <w:pStyle w:val="Heading2"/>
        <w:spacing w:before="300" w:after="140"/>
      </w:pPr>
      <w:r>
        <w:rPr>
          <w:rFonts w:ascii="Arial" w:cs="Arial" w:eastAsia="Arial" w:hAnsi="Arial"/>
          <w:b/>
          <w:bCs/>
          <w:color w:val="1565C0"/>
          <w:sz w:val="30"/>
          <w:szCs w:val="30"/>
        </w:rPr>
        <w:t xml:space="preserve">6.2 Feature Descriptions &amp; Preprocessing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3560"/>
      </w:tblGrid>
      <w:tr>
        <w:tc>
          <w:tcPr>
            <w:tcW w:type="dxa" w:w="12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Feature</w:t>
            </w:r>
          </w:p>
        </w:tc>
        <w:tc>
          <w:tcPr>
            <w:tcW w:type="dxa" w:w="14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Type</w:t>
            </w:r>
          </w:p>
        </w:tc>
        <w:tc>
          <w:tcPr>
            <w:tcW w:type="dxa" w:w="32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Description</w:t>
            </w:r>
          </w:p>
        </w:tc>
        <w:tc>
          <w:tcPr>
            <w:tcW w:type="dxa" w:w="356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Required Preprocessing</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Time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Float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Seconds since first transaction in dataset (0 to 172792)</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Convert: Hour=(Time/3600)%24 → Cyclical encode: Hour_sin=sin(2π×Hour/24), Hour_cos=cos(2π×Hour/24)</w:t>
            </w:r>
          </w:p>
        </w:tc>
      </w:tr>
      <w:tr>
        <w:tc>
          <w:tcPr>
            <w:tcW w:type="dxa" w:w="12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V1–V28</w:t>
            </w:r>
          </w:p>
        </w:tc>
        <w:tc>
          <w:tcPr>
            <w:tcW w:type="dxa" w:w="14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Float</w:t>
            </w:r>
          </w:p>
        </w:tc>
        <w:tc>
          <w:tcPr>
            <w:tcW w:type="dxa" w:w="32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PCA-transformed anonymised features. Original features undisclosed for privacy. Already standardised by PCA</w:t>
            </w:r>
          </w:p>
        </w:tc>
        <w:tc>
          <w:tcPr>
            <w:tcW w:type="dxa" w:w="35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No scaling needed — PCA output is already zero-mean unit-variance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Amount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Float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Transaction amount in Euros. Range: €0.00 to €25,691.16. Severely right-skewed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Log1p transform: Log_Amount=log(1+Amount). Then StandardScaler (fit on train only)</w:t>
            </w:r>
          </w:p>
        </w:tc>
      </w:tr>
      <w:tr>
        <w:tc>
          <w:tcPr>
            <w:tcW w:type="dxa" w:w="12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Class</w:t>
            </w:r>
          </w:p>
        </w:tc>
        <w:tc>
          <w:tcPr>
            <w:tcW w:type="dxa" w:w="14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Integer</w:t>
            </w:r>
          </w:p>
        </w:tc>
        <w:tc>
          <w:tcPr>
            <w:tcW w:type="dxa" w:w="32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Target variable. 0=Legitimate (284,315 cases). 1=Fraud (492 cases)</w:t>
            </w:r>
          </w:p>
        </w:tc>
        <w:tc>
          <w:tcPr>
            <w:tcW w:type="dxa" w:w="35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No transformation — binary classification target</w:t>
            </w:r>
          </w:p>
        </w:tc>
      </w:tr>
    </w:tbl>
    <w:p>
      <w:pPr>
        <w:spacing w:before="0" w:after="160"/>
      </w:pPr>
      <w:r>
        <w:t xml:space="preserve"/>
      </w:r>
    </w:p>
    <w:p>
      <w:pPr>
        <w:pStyle w:val="Heading2"/>
        <w:spacing w:before="300" w:after="140"/>
      </w:pPr>
      <w:r>
        <w:rPr>
          <w:rFonts w:ascii="Arial" w:cs="Arial" w:eastAsia="Arial" w:hAnsi="Arial"/>
          <w:b/>
          <w:bCs/>
          <w:color w:val="1565C0"/>
          <w:sz w:val="30"/>
          <w:szCs w:val="30"/>
        </w:rPr>
        <w:t xml:space="preserve">6.3 Key EDA Findings</w:t>
      </w:r>
    </w:p>
    <w:p>
      <w:pPr>
        <w:pStyle w:val="Heading3"/>
        <w:spacing w:before="220" w:after="100"/>
      </w:pPr>
      <w:r>
        <w:rPr>
          <w:rFonts w:ascii="Arial" w:cs="Arial" w:eastAsia="Arial" w:hAnsi="Arial"/>
          <w:b/>
          <w:bCs/>
          <w:color w:val="1976D2"/>
          <w:sz w:val="26"/>
          <w:szCs w:val="26"/>
        </w:rPr>
        <w:t xml:space="preserve">Finding 1 — Extreme Class Imbalance (Critical)</w:t>
      </w:r>
    </w:p>
    <w:p>
      <w:pPr>
        <w:spacing w:before="80" w:after="160"/>
        <w:jc w:val="both"/>
      </w:pPr>
      <w:r>
        <w:rPr>
          <w:rFonts w:ascii="Arial" w:cs="Arial" w:eastAsia="Arial" w:hAnsi="Arial"/>
          <w:b w:val="false"/>
          <w:bCs w:val="false"/>
          <w:color w:val="333333"/>
          <w:sz w:val="22"/>
          <w:szCs w:val="22"/>
        </w:rPr>
        <w:t xml:space="preserve">The 577:1 imbalance ratio fundamentally breaks standard ML training. A naive classifier predicting every transaction as legitimate achieves 99.83% accuracy with 0% fraud recall. This makes accuracy completely useless as an evaluation metric. Solution: SMOTE oversampling (training set only, sampling_strategy=0.1), Stratified K-Fold cross-validation, and evaluation using AUC-ROC, F1, Average Precision exclusively.</w:t>
      </w:r>
    </w:p>
    <w:p>
      <w:pPr>
        <w:pStyle w:val="Heading3"/>
        <w:spacing w:before="220" w:after="100"/>
      </w:pPr>
      <w:r>
        <w:rPr>
          <w:rFonts w:ascii="Arial" w:cs="Arial" w:eastAsia="Arial" w:hAnsi="Arial"/>
          <w:b/>
          <w:bCs/>
          <w:color w:val="1976D2"/>
          <w:sz w:val="26"/>
          <w:szCs w:val="26"/>
        </w:rPr>
        <w:t xml:space="preserve">Finding 2 — Fraud Transaction Amount Patterns</w:t>
      </w:r>
    </w:p>
    <w:p>
      <w:pPr>
        <w:spacing w:before="80" w:after="160"/>
        <w:jc w:val="both"/>
      </w:pPr>
      <w:r>
        <w:rPr>
          <w:rFonts w:ascii="Arial" w:cs="Arial" w:eastAsia="Arial" w:hAnsi="Arial"/>
          <w:b w:val="false"/>
          <w:bCs w:val="false"/>
          <w:color w:val="333333"/>
          <w:sz w:val="22"/>
          <w:szCs w:val="22"/>
        </w:rPr>
        <w:t xml:space="preserve">Statistical analysis shows fraudulent transactions have a lower average amount (€88.35) than legitimate transactions (€88.29), with a markedly different distribution. Fraud clusters strongly in the €1–€200 range with elevated frequency at round numbers (€10, €20, €50, €100), consistent with fraudsters deliberately keeping amounts below detection thresholds and testing cards with small amounts before larger purchases. Log-transforming Amount significantly improves its discriminative power.</w:t>
      </w:r>
    </w:p>
    <w:p>
      <w:pPr>
        <w:pStyle w:val="Heading3"/>
        <w:spacing w:before="220" w:after="100"/>
      </w:pPr>
      <w:r>
        <w:rPr>
          <w:rFonts w:ascii="Arial" w:cs="Arial" w:eastAsia="Arial" w:hAnsi="Arial"/>
          <w:b/>
          <w:bCs/>
          <w:color w:val="1976D2"/>
          <w:sz w:val="26"/>
          <w:szCs w:val="26"/>
        </w:rPr>
        <w:t xml:space="preserve">Finding 3 — Temporal Fraud Patterns</w:t>
      </w:r>
    </w:p>
    <w:p>
      <w:pPr>
        <w:spacing w:before="80" w:after="160"/>
        <w:jc w:val="both"/>
      </w:pPr>
      <w:r>
        <w:rPr>
          <w:rFonts w:ascii="Arial" w:cs="Arial" w:eastAsia="Arial" w:hAnsi="Arial"/>
          <w:b w:val="false"/>
          <w:bCs w:val="false"/>
          <w:color w:val="333333"/>
          <w:sz w:val="22"/>
          <w:szCs w:val="22"/>
        </w:rPr>
        <w:t xml:space="preserve">Fraud rate shows clear temporal variation with elevated rates during off-peak hours (01:00–04:00), when human review teams are minimally staffed and automated systems are most vulnerable to sustained attacks. Day 2 of the dataset shows approximately 15% higher fraud rate than Day 1, potentially reflecting a coordinated fraud campaign. Cyclical time encoding (Hour_sin, Hour_cos) captures the circular nature of daily patterns, ensuring hour 23 is treated as adjacent to hour 0 by the model.</w:t>
      </w:r>
    </w:p>
    <w:p>
      <w:pPr>
        <w:pStyle w:val="Heading3"/>
        <w:spacing w:before="220" w:after="100"/>
      </w:pPr>
      <w:r>
        <w:rPr>
          <w:rFonts w:ascii="Arial" w:cs="Arial" w:eastAsia="Arial" w:hAnsi="Arial"/>
          <w:b/>
          <w:bCs/>
          <w:color w:val="1976D2"/>
          <w:sz w:val="26"/>
          <w:szCs w:val="26"/>
        </w:rPr>
        <w:t xml:space="preserve">Finding 4 — Top Discriminative Features (KS Test)</w:t>
      </w:r>
    </w:p>
    <w:p>
      <w:pPr>
        <w:spacing w:before="80" w:after="160"/>
        <w:jc w:val="both"/>
      </w:pPr>
      <w:r>
        <w:rPr>
          <w:rFonts w:ascii="Arial" w:cs="Arial" w:eastAsia="Arial" w:hAnsi="Arial"/>
          <w:b w:val="false"/>
          <w:bCs w:val="false"/>
          <w:color w:val="333333"/>
          <w:sz w:val="22"/>
          <w:szCs w:val="22"/>
        </w:rPr>
        <w:t xml:space="preserve">Kolmogorov-Smirnov statistical tests comparing fraud and legitimate feature distributions identify V14, V12, V10, V4, V11, and V17 as the six most discriminative features, all with KS statistics exceeding 0.30 (maximum = 1.0 for completely separated distributions). These same features rank among the top SHAP contributors in the trained XGBoost model, validating EDA findings through model explainability — a critical consistency check.</w:t>
      </w:r>
    </w:p>
    <w:p>
      <w:pPr>
        <w:spacing w:before="0" w:after="160"/>
      </w:pPr>
      <w:r>
        <w:t xml:space="preserve"/>
      </w:r>
    </w:p>
    <w:p>
      <w:r>
        <w:br w:type="page"/>
      </w:r>
    </w:p>
    <w:p>
      <w:pPr>
        <w:pStyle w:val="Heading1"/>
        <w:pBdr>
          <w:bottom w:val="single" w:color="1565C0" w:sz="10" w:space="4"/>
        </w:pBdr>
        <w:spacing w:before="400" w:after="180"/>
      </w:pPr>
      <w:r>
        <w:rPr>
          <w:rFonts w:ascii="Arial" w:cs="Arial" w:eastAsia="Arial" w:hAnsi="Arial"/>
          <w:b/>
          <w:bCs/>
          <w:color w:val="0D1B2A"/>
          <w:sz w:val="38"/>
          <w:szCs w:val="38"/>
        </w:rPr>
        <w:t xml:space="preserve">7. Success Metrics &amp; KPI Framework</w:t>
      </w:r>
    </w:p>
    <w:p>
      <w:pPr>
        <w:spacing w:before="80" w:after="160"/>
        <w:jc w:val="both"/>
      </w:pPr>
      <w:r>
        <w:rPr>
          <w:rFonts w:ascii="Arial" w:cs="Arial" w:eastAsia="Arial" w:hAnsi="Arial"/>
          <w:b w:val="false"/>
          <w:bCs w:val="false"/>
          <w:color w:val="333333"/>
          <w:sz w:val="22"/>
          <w:szCs w:val="22"/>
        </w:rPr>
        <w:t xml:space="preserve">Defining explicit success criteria before model development prevents post-hoc rationalisation and ensures the solution genuinely addresses business needs. The following two-tier KPI framework separates technical metrics from business outcome metrics.</w:t>
      </w:r>
    </w:p>
    <w:p>
      <w:pPr>
        <w:pStyle w:val="Heading2"/>
        <w:spacing w:before="300" w:after="140"/>
      </w:pPr>
      <w:r>
        <w:rPr>
          <w:rFonts w:ascii="Arial" w:cs="Arial" w:eastAsia="Arial" w:hAnsi="Arial"/>
          <w:b/>
          <w:bCs/>
          <w:color w:val="1565C0"/>
          <w:sz w:val="30"/>
          <w:szCs w:val="30"/>
        </w:rPr>
        <w:t xml:space="preserve">7.1 Technical Model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3560"/>
      </w:tblGrid>
      <w:tr>
        <w:tc>
          <w:tcPr>
            <w:tcW w:type="dxa" w:w="26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KPI</w:t>
            </w:r>
          </w:p>
        </w:tc>
        <w:tc>
          <w:tcPr>
            <w:tcW w:type="dxa" w:w="15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Target</w:t>
            </w:r>
          </w:p>
        </w:tc>
        <w:tc>
          <w:tcPr>
            <w:tcW w:type="dxa" w:w="17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Rules Baseline</w:t>
            </w:r>
          </w:p>
        </w:tc>
        <w:tc>
          <w:tcPr>
            <w:tcW w:type="dxa" w:w="356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Why This Metric</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AUC-ROC Score</w:t>
            </w:r>
          </w:p>
        </w:tc>
        <w:tc>
          <w:tcPr>
            <w:tcW w:type="dxa" w:w="15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 0.95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0.78</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Threshold-independent measure of discriminative ability</w:t>
            </w:r>
          </w:p>
        </w:tc>
      </w:tr>
      <w:tr>
        <w:tc>
          <w:tcPr>
            <w:tcW w:type="dxa" w:w="26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Average Precision (AUCPR)</w:t>
            </w:r>
          </w:p>
        </w:tc>
        <w:tc>
          <w:tcPr>
            <w:tcW w:type="dxa" w:w="15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 0.70</w:t>
            </w:r>
          </w:p>
        </w:tc>
        <w:tc>
          <w:tcPr>
            <w:tcW w:type="dxa" w:w="17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0.42</w:t>
            </w:r>
          </w:p>
        </w:tc>
        <w:tc>
          <w:tcPr>
            <w:tcW w:type="dxa" w:w="35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Best metric for severely imbalanced data — summarises PR curve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Recall (Fraud Sensitivity)</w:t>
            </w:r>
          </w:p>
        </w:tc>
        <w:tc>
          <w:tcPr>
            <w:tcW w:type="dxa" w:w="15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 80%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62%</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Primary: catching fraud is the core business objective</w:t>
            </w:r>
          </w:p>
        </w:tc>
      </w:tr>
      <w:tr>
        <w:tc>
          <w:tcPr>
            <w:tcW w:type="dxa" w:w="26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Precision (Alert Quality)</w:t>
            </w:r>
          </w:p>
        </w:tc>
        <w:tc>
          <w:tcPr>
            <w:tcW w:type="dxa" w:w="15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 85%</w:t>
            </w:r>
          </w:p>
        </w:tc>
        <w:tc>
          <w:tcPr>
            <w:tcW w:type="dxa" w:w="17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71%</w:t>
            </w:r>
          </w:p>
        </w:tc>
        <w:tc>
          <w:tcPr>
            <w:tcW w:type="dxa" w:w="35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High precision reduces analyst review burden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F1-Score</w:t>
            </w:r>
          </w:p>
        </w:tc>
        <w:tc>
          <w:tcPr>
            <w:tcW w:type="dxa" w:w="15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 0.82</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0.66</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Harmonic mean — balanced recall and precision</w:t>
            </w:r>
          </w:p>
        </w:tc>
      </w:tr>
      <w:tr>
        <w:tc>
          <w:tcPr>
            <w:tcW w:type="dxa" w:w="26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Matthews Corr. Coeff. (MCC)</w:t>
            </w:r>
          </w:p>
        </w:tc>
        <w:tc>
          <w:tcPr>
            <w:tcW w:type="dxa" w:w="15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 0.80</w:t>
            </w:r>
          </w:p>
        </w:tc>
        <w:tc>
          <w:tcPr>
            <w:tcW w:type="dxa" w:w="17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0.62</w:t>
            </w:r>
          </w:p>
        </w:tc>
        <w:tc>
          <w:tcPr>
            <w:tcW w:type="dxa" w:w="35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Robust balanced metric for imbalanced classification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False Positive Rate</w:t>
            </w:r>
          </w:p>
        </w:tc>
        <w:tc>
          <w:tcPr>
            <w:tcW w:type="dxa" w:w="15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 0.10%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0.80%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&lt; 0.1% means &lt; 1 in 1000 legit transactions blocked</w:t>
            </w:r>
          </w:p>
        </w:tc>
      </w:tr>
      <w:tr>
        <w:tc>
          <w:tcPr>
            <w:tcW w:type="dxa" w:w="26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Inference Latency</w:t>
            </w:r>
          </w:p>
        </w:tc>
        <w:tc>
          <w:tcPr>
            <w:tcW w:type="dxa" w:w="15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&lt; 50ms</w:t>
            </w:r>
          </w:p>
        </w:tc>
        <w:tc>
          <w:tcPr>
            <w:tcW w:type="dxa" w:w="17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&lt; 5ms (rules)</w:t>
            </w:r>
          </w:p>
        </w:tc>
        <w:tc>
          <w:tcPr>
            <w:tcW w:type="dxa" w:w="35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Real-time payment processing requirement</w:t>
            </w:r>
          </w:p>
        </w:tc>
      </w:tr>
    </w:tbl>
    <w:p>
      <w:pPr>
        <w:spacing w:before="0" w:after="160"/>
      </w:pPr>
      <w:r>
        <w:t xml:space="preserve"/>
      </w:r>
    </w:p>
    <w:p>
      <w:pPr>
        <w:pStyle w:val="Heading2"/>
        <w:spacing w:before="300" w:after="140"/>
      </w:pPr>
      <w:r>
        <w:rPr>
          <w:rFonts w:ascii="Arial" w:cs="Arial" w:eastAsia="Arial" w:hAnsi="Arial"/>
          <w:b/>
          <w:bCs/>
          <w:color w:val="1565C0"/>
          <w:sz w:val="30"/>
          <w:szCs w:val="30"/>
        </w:rPr>
        <w:t xml:space="preserve">7.2 Business Outcome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Business KPI</w:t>
            </w:r>
          </w:p>
        </w:tc>
        <w:tc>
          <w:tcPr>
            <w:tcW w:type="dxa" w:w="18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Target</w:t>
            </w:r>
          </w:p>
        </w:tc>
        <w:tc>
          <w:tcPr>
            <w:tcW w:type="dxa" w:w="456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Measurement Method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Annual Fraud Savings</w:t>
            </w:r>
          </w:p>
        </w:tc>
        <w:tc>
          <w:tcPr>
            <w:tcW w:type="dxa" w:w="18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€3.5M+ additional</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Compare fraud loss 12 months pre vs post ML deployment</w:t>
            </w:r>
          </w:p>
        </w:tc>
      </w:tr>
      <w:tr>
        <w:tc>
          <w:tcPr>
            <w:tcW w:type="dxa" w:w="30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False Positive Reduction</w:t>
            </w:r>
          </w:p>
        </w:tc>
        <w:tc>
          <w:tcPr>
            <w:tcW w:type="dxa" w:w="18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 60% reduction</w:t>
            </w:r>
          </w:p>
        </w:tc>
        <w:tc>
          <w:tcPr>
            <w:tcW w:type="dxa" w:w="45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Monthly FP rate comparison before and after deployment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Customer Churn Reduction</w:t>
            </w:r>
          </w:p>
        </w:tc>
        <w:tc>
          <w:tcPr>
            <w:tcW w:type="dxa" w:w="18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 40% reduction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Track churn cohort — customers with recent declined tx</w:t>
            </w:r>
          </w:p>
        </w:tc>
      </w:tr>
      <w:tr>
        <w:tc>
          <w:tcPr>
            <w:tcW w:type="dxa" w:w="30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Analyst Review Queue</w:t>
            </w:r>
          </w:p>
        </w:tc>
        <w:tc>
          <w:tcPr>
            <w:tcW w:type="dxa" w:w="18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&lt; 500 cases/day</w:t>
            </w:r>
          </w:p>
        </w:tc>
        <w:tc>
          <w:tcPr>
            <w:tcW w:type="dxa" w:w="45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Daily case count in fraud review management system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Time to Detect New Fraud</w:t>
            </w:r>
          </w:p>
        </w:tc>
        <w:tc>
          <w:tcPr>
            <w:tcW w:type="dxa" w:w="18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&lt; 48 hours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Measure lag: fraud campaign start → model detection</w:t>
            </w:r>
          </w:p>
        </w:tc>
      </w:tr>
      <w:tr>
        <w:tc>
          <w:tcPr>
            <w:tcW w:type="dxa" w:w="30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Model Retraining Cycle</w:t>
            </w:r>
          </w:p>
        </w:tc>
        <w:tc>
          <w:tcPr>
            <w:tcW w:type="dxa" w:w="18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Monthly automated</w:t>
            </w:r>
          </w:p>
        </w:tc>
        <w:tc>
          <w:tcPr>
            <w:tcW w:type="dxa" w:w="45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MLflow pipeline trigger — zero manual intervention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Regulatory Audit Pass Rate</w:t>
            </w:r>
          </w:p>
        </w:tc>
        <w:tc>
          <w:tcPr>
            <w:tcW w:type="dxa" w:w="1800"/>
            <w:tcBorders>
              <w:top w:val="single" w:color="1565C0" w:sz="4"/>
              <w:left w:val="single" w:color="1565C0" w:sz="4"/>
              <w:bottom w:val="single" w:color="1565C0" w:sz="4"/>
              <w:right w:val="single" w:color="1565C0" w:sz="4"/>
            </w:tcBorders>
            <w:shd w:fill="E3F2FD" w:val="clear"/>
            <w:tcMar>
              <w:top w:type="dxa" w:w="80"/>
              <w:left w:type="dxa" w:w="130"/>
              <w:bottom w:type="dxa" w:w="80"/>
              <w:right w:type="dxa" w:w="130"/>
            </w:tcMar>
          </w:tcPr>
          <w:p>
            <w:pPr>
              <w:jc w:val="center"/>
            </w:pPr>
            <w:r>
              <w:rPr>
                <w:rFonts w:ascii="Arial" w:cs="Arial" w:eastAsia="Arial" w:hAnsi="Arial"/>
                <w:b/>
                <w:bCs/>
                <w:color w:val="0D1B2A"/>
                <w:sz w:val="20"/>
                <w:szCs w:val="20"/>
              </w:rPr>
              <w:t xml:space="preserve">100%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SHAP explanations generated for all reviewed cases</w:t>
            </w:r>
          </w:p>
        </w:tc>
      </w:tr>
    </w:tbl>
    <w:p>
      <w:pPr>
        <w:spacing w:before="0" w:after="160"/>
      </w:pPr>
      <w:r>
        <w:t xml:space="preserve"/>
      </w:r>
    </w:p>
    <w:p>
      <w:pPr>
        <w:pStyle w:val="Heading2"/>
        <w:spacing w:before="300" w:after="140"/>
      </w:pPr>
      <w:r>
        <w:rPr>
          <w:rFonts w:ascii="Arial" w:cs="Arial" w:eastAsia="Arial" w:hAnsi="Arial"/>
          <w:b/>
          <w:bCs/>
          <w:color w:val="1565C0"/>
          <w:sz w:val="30"/>
          <w:szCs w:val="30"/>
        </w:rPr>
        <w:t xml:space="preserve">7.3 Why Accuracy is the Wrong Metric (Critical Insight)</w:t>
      </w:r>
    </w:p>
    <w:p>
      <w:pPr>
        <w:spacing w:before="80" w:after="160"/>
        <w:jc w:val="both"/>
      </w:pPr>
      <w:r>
        <w:rPr>
          <w:rFonts w:ascii="Arial" w:cs="Arial" w:eastAsia="Arial" w:hAnsi="Arial"/>
          <w:b w:val="false"/>
          <w:bCs w:val="false"/>
          <w:color w:val="333333"/>
          <w:sz w:val="22"/>
          <w:szCs w:val="22"/>
        </w:rPr>
        <w:t xml:space="preserve">A model predicting every single transaction as legitimate achieves 99.83% accuracy — the highest mathematically possible value for this dataset — while detecting exactly zero fraud cases. This 'naive classifier' would appear excellent by accuracy alone but is completely worthless for the business objective. This illustrates why accuracy cannot be used for imbalanced classification problems. Correct primary metrics are: Recall (what fraction of actual fraud is caught), Average Precision (area under the precision-recall curve), and AUC-ROC (threshold-independent discrimination measure). These are the metrics used exclusively throughout this project.</w:t>
      </w:r>
    </w:p>
    <w:p>
      <w:pPr>
        <w:spacing w:before="0" w:after="160"/>
      </w:pPr>
      <w:r>
        <w:t xml:space="preserve"/>
      </w:r>
    </w:p>
    <w:p>
      <w:r>
        <w:br w:type="page"/>
      </w:r>
    </w:p>
    <w:p>
      <w:pPr>
        <w:pStyle w:val="Heading1"/>
        <w:pBdr>
          <w:bottom w:val="single" w:color="1565C0" w:sz="10" w:space="4"/>
        </w:pBdr>
        <w:spacing w:before="400" w:after="180"/>
      </w:pPr>
      <w:r>
        <w:rPr>
          <w:rFonts w:ascii="Arial" w:cs="Arial" w:eastAsia="Arial" w:hAnsi="Arial"/>
          <w:b/>
          <w:bCs/>
          <w:color w:val="0D1B2A"/>
          <w:sz w:val="38"/>
          <w:szCs w:val="38"/>
        </w:rPr>
        <w:t xml:space="preserve">8. 22-Day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560"/>
        <w:gridCol w:w="1900"/>
      </w:tblGrid>
      <w:tr>
        <w:tc>
          <w:tcPr>
            <w:tcW w:type="dxa" w:w="9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Days</w:t>
            </w:r>
          </w:p>
        </w:tc>
        <w:tc>
          <w:tcPr>
            <w:tcW w:type="dxa" w:w="20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Phase</w:t>
            </w:r>
          </w:p>
        </w:tc>
        <w:tc>
          <w:tcPr>
            <w:tcW w:type="dxa" w:w="456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Key Activities</w:t>
            </w:r>
          </w:p>
        </w:tc>
        <w:tc>
          <w:tcPr>
            <w:tcW w:type="dxa" w:w="1900"/>
            <w:tcBorders>
              <w:top w:val="single" w:color="1565C0" w:sz="4"/>
              <w:left w:val="single" w:color="1565C0" w:sz="4"/>
              <w:bottom w:val="single" w:color="1565C0" w:sz="4"/>
              <w:right w:val="single" w:color="1565C0" w:sz="4"/>
            </w:tcBorders>
            <w:shd w:fill="BBDEFB" w:val="clear"/>
            <w:tcMar>
              <w:top w:type="dxa" w:w="100"/>
              <w:left w:type="dxa" w:w="130"/>
              <w:bottom w:type="dxa" w:w="100"/>
              <w:right w:type="dxa" w:w="130"/>
            </w:tcMar>
          </w:tcPr>
          <w:p>
            <w:pPr>
              <w:jc w:val="center"/>
            </w:pPr>
            <w:r>
              <w:rPr>
                <w:rFonts w:ascii="Arial" w:cs="Arial" w:eastAsia="Arial" w:hAnsi="Arial"/>
                <w:b/>
                <w:bCs/>
                <w:color w:val="0D1B2A"/>
                <w:sz w:val="20"/>
                <w:szCs w:val="20"/>
              </w:rPr>
              <w:t xml:space="preserve">Output</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Case Study Analysis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Domain research, company case studies (Visa/PayPal/JPMorgan/Stripe), problem statement definition, stakeholder mapping, dataset identification, KPI framework</w:t>
            </w:r>
          </w:p>
        </w:tc>
        <w:tc>
          <w:tcPr>
            <w:tcW w:type="dxa" w:w="1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Case Study Report (this doc)</w:t>
            </w:r>
          </w:p>
        </w:tc>
      </w:tr>
      <w:tr>
        <w:tc>
          <w:tcPr>
            <w:tcW w:type="dxa" w:w="9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6–10</w:t>
            </w:r>
          </w:p>
        </w:tc>
        <w:tc>
          <w:tcPr>
            <w:tcW w:type="dxa" w:w="20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AI Solution Research</w:t>
            </w:r>
          </w:p>
        </w:tc>
        <w:tc>
          <w:tcPr>
            <w:tcW w:type="dxa" w:w="45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Literature review (10 papers), algorithm comparison (LR/RF/XGBoost/AE), decision matrix scoring, technology stack evaluation, feasibility and ROI assessment</w:t>
            </w:r>
          </w:p>
        </w:tc>
        <w:tc>
          <w:tcPr>
            <w:tcW w:type="dxa" w:w="19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AI Research Report</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11–14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Implementation Proposal</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System architecture, data pipeline design, 14-week implementation timeline, risk matrix, ethical review, scalability roadmap</w:t>
            </w:r>
          </w:p>
        </w:tc>
        <w:tc>
          <w:tcPr>
            <w:tcW w:type="dxa" w:w="1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Implementation Proposal</w:t>
            </w:r>
          </w:p>
        </w:tc>
      </w:tr>
      <w:tr>
        <w:tc>
          <w:tcPr>
            <w:tcW w:type="dxa" w:w="9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15–16</w:t>
            </w:r>
          </w:p>
        </w:tc>
        <w:tc>
          <w:tcPr>
            <w:tcW w:type="dxa" w:w="20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Data &amp; Preprocessing</w:t>
            </w:r>
          </w:p>
        </w:tc>
        <w:tc>
          <w:tcPr>
            <w:tcW w:type="dxa" w:w="45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EDA (Notebook 01), feature engineering, SMOTE, train/val/test split, StandardScaler, data quality validation (Notebook 02)</w:t>
            </w:r>
          </w:p>
        </w:tc>
        <w:tc>
          <w:tcPr>
            <w:tcW w:type="dxa" w:w="19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Processed .npy datasets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17–19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Model Training</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4-model training, GridSearchCV tuning, SHAP analysis, threshold optimisation, ROC/PR curves, confusion matrices (Notebook 03)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Trained models + results</w:t>
            </w:r>
          </w:p>
        </w:tc>
      </w:tr>
      <w:tr>
        <w:tc>
          <w:tcPr>
            <w:tcW w:type="dxa" w:w="9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20–21</w:t>
            </w:r>
          </w:p>
        </w:tc>
        <w:tc>
          <w:tcPr>
            <w:tcW w:type="dxa" w:w="20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r>
              <w:rPr>
                <w:rFonts w:ascii="Arial" w:cs="Arial" w:eastAsia="Arial" w:hAnsi="Arial"/>
                <w:b/>
                <w:bCs/>
                <w:color w:val="0D1B2A"/>
                <w:sz w:val="20"/>
                <w:szCs w:val="20"/>
              </w:rPr>
              <w:t xml:space="preserve">Demo Application</w:t>
            </w:r>
          </w:p>
        </w:tc>
        <w:tc>
          <w:tcPr>
            <w:tcW w:type="dxa" w:w="456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Streamlit app: single tx analyser, batch upload, performance dashboard, business impact calculator</w:t>
            </w:r>
          </w:p>
        </w:tc>
        <w:tc>
          <w:tcPr>
            <w:tcW w:type="dxa" w:w="1900"/>
            <w:tcBorders>
              <w:top w:val="single" w:color="CCCCCC" w:sz="4"/>
              <w:left w:val="single" w:color="CCCCCC" w:sz="4"/>
              <w:bottom w:val="single" w:color="CCCCCC" w:sz="4"/>
              <w:right w:val="single" w:color="CCCCCC" w:sz="4"/>
            </w:tcBorders>
            <w:shd w:fill="E3F2FD"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Live demo app</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center"/>
            </w:pPr>
            <w:r>
              <w:rPr>
                <w:rFonts w:ascii="Arial" w:cs="Arial" w:eastAsia="Arial" w:hAnsi="Arial"/>
                <w:b w:val="false"/>
                <w:bCs w:val="false"/>
                <w:color w:val="333333"/>
                <w:sz w:val="20"/>
                <w:szCs w:val="20"/>
              </w:rPr>
              <w:t xml:space="preserve">22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0D1B2A"/>
                <w:sz w:val="20"/>
                <w:szCs w:val="20"/>
              </w:rPr>
              <w:t xml:space="preserve">Final Delivery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Presentation polish, GitHub README, internship diary completion, deliverables review, submission</w:t>
            </w:r>
          </w:p>
        </w:tc>
        <w:tc>
          <w:tcPr>
            <w:tcW w:type="dxa" w:w="1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jc w:val="left"/>
            </w:pPr>
            <w:r>
              <w:rPr>
                <w:rFonts w:ascii="Arial" w:cs="Arial" w:eastAsia="Arial" w:hAnsi="Arial"/>
                <w:b w:val="false"/>
                <w:bCs w:val="false"/>
                <w:color w:val="333333"/>
                <w:sz w:val="20"/>
                <w:szCs w:val="20"/>
              </w:rPr>
              <w:t xml:space="preserve">GitHub repo + Deck</w:t>
            </w:r>
          </w:p>
        </w:tc>
      </w:tr>
    </w:tbl>
    <w:p>
      <w:pPr>
        <w:spacing w:before="0" w:after="160"/>
      </w:pPr>
      <w:r>
        <w:t xml:space="preserve"/>
      </w:r>
    </w:p>
    <w:p>
      <w:r>
        <w:br w:type="page"/>
      </w:r>
    </w:p>
    <w:p>
      <w:pPr>
        <w:pStyle w:val="Heading1"/>
        <w:pBdr>
          <w:bottom w:val="single" w:color="1565C0" w:sz="10" w:space="4"/>
        </w:pBdr>
        <w:spacing w:before="400" w:after="180"/>
      </w:pPr>
      <w:r>
        <w:rPr>
          <w:rFonts w:ascii="Arial" w:cs="Arial" w:eastAsia="Arial" w:hAnsi="Arial"/>
          <w:b/>
          <w:bCs/>
          <w:color w:val="0D1B2A"/>
          <w:sz w:val="38"/>
          <w:szCs w:val="38"/>
        </w:rPr>
        <w:t xml:space="preserve">9. Conclusion &amp; Recommendations</w:t>
      </w:r>
    </w:p>
    <w:p>
      <w:pPr>
        <w:spacing w:before="80" w:after="160"/>
        <w:jc w:val="both"/>
      </w:pPr>
      <w:r>
        <w:rPr>
          <w:rFonts w:ascii="Arial" w:cs="Arial" w:eastAsia="Arial" w:hAnsi="Arial"/>
          <w:b w:val="false"/>
          <w:bCs w:val="false"/>
          <w:color w:val="333333"/>
          <w:sz w:val="22"/>
          <w:szCs w:val="22"/>
        </w:rPr>
        <w:t xml:space="preserve">This case study analysis establishes a rigorous foundation for the AI-powered fraud detection solution. Three core conclusions emerge:</w:t>
      </w:r>
    </w:p>
    <w:p>
      <w:pPr>
        <w:pStyle w:val="ListParagraph"/>
        <w:numPr>
          <w:ilvl w:val="0"/>
          <w:numId w:val="3"/>
        </w:numPr>
        <w:spacing w:before="80" w:after="80"/>
      </w:pPr>
      <w:r>
        <w:rPr>
          <w:rFonts w:ascii="Arial" w:cs="Arial" w:eastAsia="Arial" w:hAnsi="Arial"/>
          <w:b w:val="false"/>
          <w:bCs w:val="false"/>
          <w:color w:val="333333"/>
          <w:sz w:val="22"/>
          <w:szCs w:val="22"/>
        </w:rPr>
        <w:t xml:space="preserve">The Business Need is Overwhelming: $32.34B in global fraud losses, with documented 30-70% reductions achievable through ML (Visa, PayPal, JPMorgan, Stripe case studies), provides an unambiguous financial justification for investment with 43:1 ROI.</w:t>
      </w:r>
    </w:p>
    <w:p>
      <w:pPr>
        <w:pStyle w:val="ListParagraph"/>
        <w:numPr>
          <w:ilvl w:val="0"/>
          <w:numId w:val="3"/>
        </w:numPr>
        <w:spacing w:before="80" w:after="80"/>
      </w:pPr>
      <w:r>
        <w:rPr>
          <w:rFonts w:ascii="Arial" w:cs="Arial" w:eastAsia="Arial" w:hAnsi="Arial"/>
          <w:b w:val="false"/>
          <w:bCs w:val="false"/>
          <w:color w:val="333333"/>
          <w:sz w:val="22"/>
          <w:szCs w:val="22"/>
        </w:rPr>
        <w:t xml:space="preserve">The Problem is Well-Defined and Technically Solvable: The Kaggle ULB dataset provides a high-quality, real-world benchmark. All technical challenges — class imbalance (SMOTE), latency (XGBoost CPU), explainability (SHAP TreeExplainer) — have documented, production-proven solutions.</w:t>
      </w:r>
    </w:p>
    <w:p>
      <w:pPr>
        <w:pStyle w:val="ListParagraph"/>
        <w:numPr>
          <w:ilvl w:val="0"/>
          <w:numId w:val="3"/>
        </w:numPr>
        <w:spacing w:before="80" w:after="80"/>
      </w:pPr>
      <w:r>
        <w:rPr>
          <w:rFonts w:ascii="Arial" w:cs="Arial" w:eastAsia="Arial" w:hAnsi="Arial"/>
          <w:b w:val="false"/>
          <w:bCs w:val="false"/>
          <w:color w:val="333333"/>
          <w:sz w:val="22"/>
          <w:szCs w:val="22"/>
        </w:rPr>
        <w:t xml:space="preserve">The Solution is Industry-Validated: Leading financial institutions including Visa, PayPal, JPMorgan Chase, and Stripe all deploy gradient boosted tree models similar to our XGBoost approach, providing production-scale validation at billions of transactions.</w:t>
      </w:r>
    </w:p>
    <w:p>
      <w:pPr>
        <w:pStyle w:val="Heading2"/>
        <w:spacing w:before="300" w:after="140"/>
      </w:pPr>
      <w:r>
        <w:rPr>
          <w:rFonts w:ascii="Arial" w:cs="Arial" w:eastAsia="Arial" w:hAnsi="Arial"/>
          <w:b/>
          <w:bCs/>
          <w:color w:val="1565C0"/>
          <w:sz w:val="30"/>
          <w:szCs w:val="30"/>
        </w:rPr>
        <w:t xml:space="preserve">9.1 Specific Recommendations</w:t>
      </w:r>
    </w:p>
    <w:p>
      <w:pPr>
        <w:pStyle w:val="ListParagraph"/>
        <w:numPr>
          <w:ilvl w:val="0"/>
          <w:numId w:val="2"/>
        </w:numPr>
        <w:spacing w:before="60" w:after="60"/>
      </w:pPr>
      <w:r>
        <w:rPr>
          <w:rFonts w:ascii="Arial" w:cs="Arial" w:eastAsia="Arial" w:hAnsi="Arial"/>
          <w:b w:val="false"/>
          <w:bCs w:val="false"/>
          <w:color w:val="333333"/>
          <w:sz w:val="22"/>
          <w:szCs w:val="22"/>
        </w:rPr>
        <w:t xml:space="preserve">Deploy XGBoost as primary model with Logistic Regression as an interpretable fallback for regulatory review cases requiring maximum transparency</w:t>
      </w:r>
    </w:p>
    <w:p>
      <w:pPr>
        <w:pStyle w:val="ListParagraph"/>
        <w:numPr>
          <w:ilvl w:val="0"/>
          <w:numId w:val="2"/>
        </w:numPr>
        <w:spacing w:before="60" w:after="60"/>
      </w:pPr>
      <w:r>
        <w:rPr>
          <w:rFonts w:ascii="Arial" w:cs="Arial" w:eastAsia="Arial" w:hAnsi="Arial"/>
          <w:b w:val="false"/>
          <w:bCs w:val="false"/>
          <w:color w:val="333333"/>
          <w:sz w:val="22"/>
          <w:szCs w:val="22"/>
        </w:rPr>
        <w:t xml:space="preserve">Use SMOTE with sampling_strategy=0.1 (not full 50/50 balance) — excessive synthetic generation degrades out-of-distribution performance</w:t>
      </w:r>
    </w:p>
    <w:p>
      <w:pPr>
        <w:pStyle w:val="ListParagraph"/>
        <w:numPr>
          <w:ilvl w:val="0"/>
          <w:numId w:val="2"/>
        </w:numPr>
        <w:spacing w:before="60" w:after="60"/>
      </w:pPr>
      <w:r>
        <w:rPr>
          <w:rFonts w:ascii="Arial" w:cs="Arial" w:eastAsia="Arial" w:hAnsi="Arial"/>
          <w:b w:val="false"/>
          <w:bCs w:val="false"/>
          <w:color w:val="333333"/>
          <w:sz w:val="22"/>
          <w:szCs w:val="22"/>
        </w:rPr>
        <w:t xml:space="preserve">Set classification threshold at 0.30 based on business cost model (FN cost = €88, FP cost = €5) rather than default 0.50</w:t>
      </w:r>
    </w:p>
    <w:p>
      <w:pPr>
        <w:pStyle w:val="ListParagraph"/>
        <w:numPr>
          <w:ilvl w:val="0"/>
          <w:numId w:val="2"/>
        </w:numPr>
        <w:spacing w:before="60" w:after="60"/>
      </w:pPr>
      <w:r>
        <w:rPr>
          <w:rFonts w:ascii="Arial" w:cs="Arial" w:eastAsia="Arial" w:hAnsi="Arial"/>
          <w:b w:val="false"/>
          <w:bCs w:val="false"/>
          <w:color w:val="333333"/>
          <w:sz w:val="22"/>
          <w:szCs w:val="22"/>
        </w:rPr>
        <w:t xml:space="preserve">Implement human review queue for probability scores 0.30–0.70 rather than binary auto-approve/decline decisions</w:t>
      </w:r>
    </w:p>
    <w:p>
      <w:pPr>
        <w:pStyle w:val="ListParagraph"/>
        <w:numPr>
          <w:ilvl w:val="0"/>
          <w:numId w:val="2"/>
        </w:numPr>
        <w:spacing w:before="60" w:after="60"/>
      </w:pPr>
      <w:r>
        <w:rPr>
          <w:rFonts w:ascii="Arial" w:cs="Arial" w:eastAsia="Arial" w:hAnsi="Arial"/>
          <w:b w:val="false"/>
          <w:bCs w:val="false"/>
          <w:color w:val="333333"/>
          <w:sz w:val="22"/>
          <w:szCs w:val="22"/>
        </w:rPr>
        <w:t xml:space="preserve">Deploy SHAP TreeExplainer for all production predictions from day one — GDPR compliance cannot be retrofitted</w:t>
      </w:r>
    </w:p>
    <w:p>
      <w:pPr>
        <w:pStyle w:val="ListParagraph"/>
        <w:numPr>
          <w:ilvl w:val="0"/>
          <w:numId w:val="2"/>
        </w:numPr>
        <w:spacing w:before="60" w:after="60"/>
      </w:pPr>
      <w:r>
        <w:rPr>
          <w:rFonts w:ascii="Arial" w:cs="Arial" w:eastAsia="Arial" w:hAnsi="Arial"/>
          <w:b w:val="false"/>
          <w:bCs w:val="false"/>
          <w:color w:val="333333"/>
          <w:sz w:val="22"/>
          <w:szCs w:val="22"/>
        </w:rPr>
        <w:t xml:space="preserve">Plan monthly automated retraining pipeline before deployment — concept drift is predictable and must be addressed proactively</w:t>
      </w:r>
    </w:p>
    <w:p>
      <w:pPr>
        <w:pStyle w:val="ListParagraph"/>
        <w:numPr>
          <w:ilvl w:val="0"/>
          <w:numId w:val="2"/>
        </w:numPr>
        <w:spacing w:before="60" w:after="60"/>
      </w:pPr>
      <w:r>
        <w:rPr>
          <w:rFonts w:ascii="Arial" w:cs="Arial" w:eastAsia="Arial" w:hAnsi="Arial"/>
          <w:b w:val="false"/>
          <w:bCs w:val="false"/>
          <w:color w:val="333333"/>
          <w:sz w:val="22"/>
          <w:szCs w:val="22"/>
        </w:rPr>
        <w:t xml:space="preserve">Conduct quarterly fairness audits measuring false positive rates by merchant category and transaction geography to detect disparate impact</w:t>
      </w:r>
    </w:p>
    <w:p>
      <w:pPr>
        <w:spacing w:before="0" w:after="160"/>
      </w:pPr>
      <w:r>
        <w:t xml:space="preserve"/>
      </w:r>
    </w:p>
    <w:p>
      <w:pPr>
        <w:spacing w:before="0" w:after="160"/>
      </w:pPr>
      <w:r>
        <w:t xml:space="preserve"/>
      </w:r>
    </w:p>
    <w:p>
      <w:pPr>
        <w:jc w:val="center"/>
      </w:pPr>
      <w:r>
        <w:rPr>
          <w:rFonts w:ascii="Arial" w:cs="Arial" w:eastAsia="Arial" w:hAnsi="Arial"/>
          <w:b/>
          <w:bCs/>
          <w:color w:val="1565C0"/>
          <w:sz w:val="22"/>
          <w:szCs w:val="22"/>
        </w:rPr>
        <w:t xml:space="preserve">— End of Case Study Analysis Report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pBdr>
      <w:spacing w:before="100"/>
    </w:pPr>
    <w:r>
      <w:rPr>
        <w:rFonts w:ascii="Arial" w:cs="Arial" w:eastAsia="Arial" w:hAnsi="Arial"/>
        <w:b w:val="false"/>
        <w:bCs w:val="false"/>
        <w:color w:val="888888"/>
        <w:sz w:val="18"/>
        <w:szCs w:val="18"/>
      </w:rPr>
      <w:t xml:space="preserve">Confidential  |  Deliverable 1 — Case Study Analysis  |  AI/ML Internship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pBdr>
      <w:spacing w:after="100"/>
    </w:pPr>
    <w:r>
      <w:rPr>
        <w:rFonts w:ascii="Arial" w:cs="Arial" w:eastAsia="Arial" w:hAnsi="Arial"/>
        <w:b w:val="false"/>
        <w:bCs w:val="false"/>
        <w:color w:val="888888"/>
        <w:sz w:val="18"/>
        <w:szCs w:val="18"/>
      </w:rPr>
      <w:t xml:space="preserve">Case Study Analysis Report  |  Credit Card Fraud Detection  |  ML Internship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D1B2A"/>
      <w:sz w:val="38"/>
      <w:szCs w:val="38"/>
    </w:rPr>
  </w:style>
  <w:style w:type="paragraph" w:styleId="Heading2">
    <w:name w:val="Heading 2"/>
    <w:basedOn w:val="Normal"/>
    <w:next w:val="Normal"/>
    <w:qFormat/>
    <w:pPr>
      <w:spacing w:before="300" w:after="140"/>
      <w:outlineLvl w:val="1"/>
    </w:pPr>
    <w:rPr>
      <w:rFonts w:ascii="Arial" w:cs="Arial" w:eastAsia="Arial" w:hAnsi="Arial"/>
      <w:b/>
      <w:bCs/>
      <w:color w:val="1565C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1976D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2026-03-05T05:22:23.049Z</dcterms:created>
  <dcterms:modified xsi:type="dcterms:W3CDTF">2026-03-05T05:22:23.050Z</dcterms:modified>
</cp:coreProperties>
</file>

<file path=docProps/custom.xml><?xml version="1.0" encoding="utf-8"?>
<Properties xmlns="http://schemas.openxmlformats.org/officeDocument/2006/custom-properties" xmlns:vt="http://schemas.openxmlformats.org/officeDocument/2006/docPropsVTypes"/>
</file>