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7F6" w:rsidRDefault="008817F6" w:rsidP="008817F6">
      <w:pPr>
        <w:pStyle w:val="Title"/>
      </w:pPr>
      <w:proofErr w:type="spellStart"/>
      <w:r>
        <w:t>RTx</w:t>
      </w:r>
      <w:proofErr w:type="spellEnd"/>
      <w:r>
        <w:t xml:space="preserve"> </w:t>
      </w:r>
      <w:proofErr w:type="spellStart"/>
      <w:r w:rsidR="001801C0">
        <w:t>Precharge</w:t>
      </w:r>
      <w:proofErr w:type="spellEnd"/>
      <w:r w:rsidR="001801C0">
        <w:t xml:space="preserve"> </w:t>
      </w:r>
      <w:r>
        <w:t>Design</w:t>
      </w:r>
      <w:r w:rsidR="00F86B4E">
        <w:t xml:space="preserve"> Document</w:t>
      </w:r>
    </w:p>
    <w:p w:rsidR="007336F6" w:rsidRDefault="008E74CD" w:rsidP="007336F6">
      <w:pPr>
        <w:pStyle w:val="Subtitle"/>
        <w:rPr>
          <w:rStyle w:val="Emphasis"/>
        </w:rPr>
      </w:pPr>
      <w:r>
        <w:rPr>
          <w:rStyle w:val="Emphasis"/>
        </w:rPr>
        <w:t>RocketTracks Capstone 2014</w:t>
      </w:r>
    </w:p>
    <w:p w:rsidR="00F33C61" w:rsidRPr="00F33C61" w:rsidRDefault="001801C0" w:rsidP="001801C0">
      <w:r>
        <w:t xml:space="preserve">The </w:t>
      </w:r>
      <w:proofErr w:type="spellStart"/>
      <w:r>
        <w:t>precharge</w:t>
      </w:r>
      <w:proofErr w:type="spellEnd"/>
      <w:r>
        <w:t xml:space="preserve"> circuit for the </w:t>
      </w:r>
      <w:proofErr w:type="spellStart"/>
      <w:r>
        <w:t>RTx</w:t>
      </w:r>
      <w:proofErr w:type="spellEnd"/>
      <w:r>
        <w:t xml:space="preserve"> controller system allows the battery supplies to be connected to the high capacitance capacitor board without causing a massive inrush of current. The </w:t>
      </w:r>
      <w:proofErr w:type="spellStart"/>
      <w:r>
        <w:t>precharge</w:t>
      </w:r>
      <w:proofErr w:type="spellEnd"/>
      <w:r>
        <w:t xml:space="preserve"> circuit also incor</w:t>
      </w:r>
      <w:r w:rsidR="00F97895">
        <w:t>porates the main on/off switch</w:t>
      </w:r>
      <w:r>
        <w:t xml:space="preserve"> and emergency stop features of the system. All this is done with the use of high current relays and devices to support the current load needed to operate the </w:t>
      </w:r>
      <w:proofErr w:type="spellStart"/>
      <w:r>
        <w:t>RTx</w:t>
      </w:r>
      <w:proofErr w:type="spellEnd"/>
      <w:r>
        <w:t xml:space="preserve"> controller motors and system.</w:t>
      </w:r>
    </w:p>
    <w:p w:rsidR="007336F6" w:rsidRDefault="007336F6">
      <w:pPr>
        <w:rPr>
          <w:i/>
          <w:iCs/>
        </w:rPr>
      </w:pPr>
      <w:r>
        <w:rPr>
          <w:b/>
          <w:bCs/>
          <w:i/>
          <w:iCs/>
        </w:rPr>
        <w:br w:type="page"/>
      </w:r>
    </w:p>
    <w:sdt>
      <w:sdtPr>
        <w:rPr>
          <w:rFonts w:asciiTheme="minorHAnsi" w:eastAsiaTheme="minorHAnsi" w:hAnsiTheme="minorHAnsi" w:cstheme="minorBidi"/>
          <w:b w:val="0"/>
          <w:bCs w:val="0"/>
          <w:i/>
          <w:iCs/>
          <w:color w:val="auto"/>
          <w:sz w:val="22"/>
          <w:szCs w:val="22"/>
        </w:rPr>
        <w:id w:val="243753606"/>
        <w:docPartObj>
          <w:docPartGallery w:val="Table of Contents"/>
          <w:docPartUnique/>
        </w:docPartObj>
      </w:sdtPr>
      <w:sdtContent>
        <w:p w:rsidR="00113883" w:rsidRDefault="00113883">
          <w:pPr>
            <w:pStyle w:val="TOCHeading"/>
          </w:pPr>
          <w:r>
            <w:t>Table of Contents</w:t>
          </w:r>
        </w:p>
        <w:p w:rsidR="00F44978" w:rsidRDefault="004F6001">
          <w:pPr>
            <w:pStyle w:val="TOC1"/>
            <w:tabs>
              <w:tab w:val="left" w:pos="440"/>
              <w:tab w:val="right" w:leader="dot" w:pos="10790"/>
            </w:tabs>
            <w:rPr>
              <w:rFonts w:eastAsiaTheme="minorEastAsia"/>
              <w:noProof/>
            </w:rPr>
          </w:pPr>
          <w:r>
            <w:fldChar w:fldCharType="begin"/>
          </w:r>
          <w:r w:rsidR="00113883">
            <w:instrText xml:space="preserve"> TOC \o "1-3" \h \z \u </w:instrText>
          </w:r>
          <w:r>
            <w:fldChar w:fldCharType="separate"/>
          </w:r>
          <w:hyperlink w:anchor="_Toc390246595" w:history="1">
            <w:r w:rsidR="00F44978" w:rsidRPr="000D2911">
              <w:rPr>
                <w:rStyle w:val="Hyperlink"/>
                <w:noProof/>
              </w:rPr>
              <w:t>I.</w:t>
            </w:r>
            <w:r w:rsidR="00F44978">
              <w:rPr>
                <w:rFonts w:eastAsiaTheme="minorEastAsia"/>
                <w:noProof/>
              </w:rPr>
              <w:tab/>
            </w:r>
            <w:r w:rsidR="00F44978" w:rsidRPr="000D2911">
              <w:rPr>
                <w:rStyle w:val="Hyperlink"/>
                <w:noProof/>
              </w:rPr>
              <w:t>Precharge Circuit</w:t>
            </w:r>
            <w:r w:rsidR="00F44978">
              <w:rPr>
                <w:noProof/>
                <w:webHidden/>
              </w:rPr>
              <w:tab/>
            </w:r>
            <w:r w:rsidR="00F44978">
              <w:rPr>
                <w:noProof/>
                <w:webHidden/>
              </w:rPr>
              <w:fldChar w:fldCharType="begin"/>
            </w:r>
            <w:r w:rsidR="00F44978">
              <w:rPr>
                <w:noProof/>
                <w:webHidden/>
              </w:rPr>
              <w:instrText xml:space="preserve"> PAGEREF _Toc390246595 \h </w:instrText>
            </w:r>
            <w:r w:rsidR="00F44978">
              <w:rPr>
                <w:noProof/>
                <w:webHidden/>
              </w:rPr>
            </w:r>
            <w:r w:rsidR="00F44978">
              <w:rPr>
                <w:noProof/>
                <w:webHidden/>
              </w:rPr>
              <w:fldChar w:fldCharType="separate"/>
            </w:r>
            <w:r w:rsidR="00F44978">
              <w:rPr>
                <w:noProof/>
                <w:webHidden/>
              </w:rPr>
              <w:t>3</w:t>
            </w:r>
            <w:r w:rsidR="00F44978">
              <w:rPr>
                <w:noProof/>
                <w:webHidden/>
              </w:rPr>
              <w:fldChar w:fldCharType="end"/>
            </w:r>
          </w:hyperlink>
        </w:p>
        <w:p w:rsidR="00F44978" w:rsidRDefault="00F44978">
          <w:pPr>
            <w:pStyle w:val="TOC2"/>
            <w:tabs>
              <w:tab w:val="left" w:pos="660"/>
              <w:tab w:val="right" w:leader="dot" w:pos="10790"/>
            </w:tabs>
            <w:rPr>
              <w:rFonts w:eastAsiaTheme="minorEastAsia"/>
              <w:noProof/>
            </w:rPr>
          </w:pPr>
          <w:hyperlink w:anchor="_Toc390246596" w:history="1">
            <w:r w:rsidRPr="000D2911">
              <w:rPr>
                <w:rStyle w:val="Hyperlink"/>
                <w:noProof/>
              </w:rPr>
              <w:t>A.</w:t>
            </w:r>
            <w:r>
              <w:rPr>
                <w:rFonts w:eastAsiaTheme="minorEastAsia"/>
                <w:noProof/>
              </w:rPr>
              <w:tab/>
            </w:r>
            <w:r w:rsidRPr="000D2911">
              <w:rPr>
                <w:rStyle w:val="Hyperlink"/>
                <w:noProof/>
              </w:rPr>
              <w:t>Precharge Circuit Overview</w:t>
            </w:r>
            <w:r>
              <w:rPr>
                <w:noProof/>
                <w:webHidden/>
              </w:rPr>
              <w:tab/>
            </w:r>
            <w:r>
              <w:rPr>
                <w:noProof/>
                <w:webHidden/>
              </w:rPr>
              <w:fldChar w:fldCharType="begin"/>
            </w:r>
            <w:r>
              <w:rPr>
                <w:noProof/>
                <w:webHidden/>
              </w:rPr>
              <w:instrText xml:space="preserve"> PAGEREF _Toc390246596 \h </w:instrText>
            </w:r>
            <w:r>
              <w:rPr>
                <w:noProof/>
                <w:webHidden/>
              </w:rPr>
            </w:r>
            <w:r>
              <w:rPr>
                <w:noProof/>
                <w:webHidden/>
              </w:rPr>
              <w:fldChar w:fldCharType="separate"/>
            </w:r>
            <w:r>
              <w:rPr>
                <w:noProof/>
                <w:webHidden/>
              </w:rPr>
              <w:t>3</w:t>
            </w:r>
            <w:r>
              <w:rPr>
                <w:noProof/>
                <w:webHidden/>
              </w:rPr>
              <w:fldChar w:fldCharType="end"/>
            </w:r>
          </w:hyperlink>
        </w:p>
        <w:p w:rsidR="00F44978" w:rsidRDefault="00F44978">
          <w:pPr>
            <w:pStyle w:val="TOC2"/>
            <w:tabs>
              <w:tab w:val="left" w:pos="660"/>
              <w:tab w:val="right" w:leader="dot" w:pos="10790"/>
            </w:tabs>
            <w:rPr>
              <w:rFonts w:eastAsiaTheme="minorEastAsia"/>
              <w:noProof/>
            </w:rPr>
          </w:pPr>
          <w:hyperlink w:anchor="_Toc390246597" w:history="1">
            <w:r w:rsidRPr="000D2911">
              <w:rPr>
                <w:rStyle w:val="Hyperlink"/>
                <w:noProof/>
              </w:rPr>
              <w:t>B.</w:t>
            </w:r>
            <w:r>
              <w:rPr>
                <w:rFonts w:eastAsiaTheme="minorEastAsia"/>
                <w:noProof/>
              </w:rPr>
              <w:tab/>
            </w:r>
            <w:r w:rsidRPr="000D2911">
              <w:rPr>
                <w:rStyle w:val="Hyperlink"/>
                <w:noProof/>
              </w:rPr>
              <w:t>Precharge Circuit</w:t>
            </w:r>
            <w:r>
              <w:rPr>
                <w:noProof/>
                <w:webHidden/>
              </w:rPr>
              <w:tab/>
            </w:r>
            <w:r>
              <w:rPr>
                <w:noProof/>
                <w:webHidden/>
              </w:rPr>
              <w:fldChar w:fldCharType="begin"/>
            </w:r>
            <w:r>
              <w:rPr>
                <w:noProof/>
                <w:webHidden/>
              </w:rPr>
              <w:instrText xml:space="preserve"> PAGEREF _Toc390246597 \h </w:instrText>
            </w:r>
            <w:r>
              <w:rPr>
                <w:noProof/>
                <w:webHidden/>
              </w:rPr>
            </w:r>
            <w:r>
              <w:rPr>
                <w:noProof/>
                <w:webHidden/>
              </w:rPr>
              <w:fldChar w:fldCharType="separate"/>
            </w:r>
            <w:r>
              <w:rPr>
                <w:noProof/>
                <w:webHidden/>
              </w:rPr>
              <w:t>3</w:t>
            </w:r>
            <w:r>
              <w:rPr>
                <w:noProof/>
                <w:webHidden/>
              </w:rPr>
              <w:fldChar w:fldCharType="end"/>
            </w:r>
          </w:hyperlink>
        </w:p>
        <w:p w:rsidR="00F44978" w:rsidRDefault="00F44978">
          <w:pPr>
            <w:pStyle w:val="TOC3"/>
            <w:tabs>
              <w:tab w:val="left" w:pos="880"/>
              <w:tab w:val="right" w:leader="dot" w:pos="10790"/>
            </w:tabs>
            <w:rPr>
              <w:rFonts w:eastAsiaTheme="minorEastAsia"/>
              <w:noProof/>
            </w:rPr>
          </w:pPr>
          <w:hyperlink w:anchor="_Toc390246598" w:history="1">
            <w:r w:rsidRPr="000D2911">
              <w:rPr>
                <w:rStyle w:val="Hyperlink"/>
                <w:noProof/>
              </w:rPr>
              <w:t>1.</w:t>
            </w:r>
            <w:r>
              <w:rPr>
                <w:rFonts w:eastAsiaTheme="minorEastAsia"/>
                <w:noProof/>
              </w:rPr>
              <w:tab/>
            </w:r>
            <w:r w:rsidRPr="000D2911">
              <w:rPr>
                <w:rStyle w:val="Hyperlink"/>
                <w:noProof/>
              </w:rPr>
              <w:t>Component List</w:t>
            </w:r>
            <w:r>
              <w:rPr>
                <w:noProof/>
                <w:webHidden/>
              </w:rPr>
              <w:tab/>
            </w:r>
            <w:r>
              <w:rPr>
                <w:noProof/>
                <w:webHidden/>
              </w:rPr>
              <w:fldChar w:fldCharType="begin"/>
            </w:r>
            <w:r>
              <w:rPr>
                <w:noProof/>
                <w:webHidden/>
              </w:rPr>
              <w:instrText xml:space="preserve"> PAGEREF _Toc390246598 \h </w:instrText>
            </w:r>
            <w:r>
              <w:rPr>
                <w:noProof/>
                <w:webHidden/>
              </w:rPr>
            </w:r>
            <w:r>
              <w:rPr>
                <w:noProof/>
                <w:webHidden/>
              </w:rPr>
              <w:fldChar w:fldCharType="separate"/>
            </w:r>
            <w:r>
              <w:rPr>
                <w:noProof/>
                <w:webHidden/>
              </w:rPr>
              <w:t>3</w:t>
            </w:r>
            <w:r>
              <w:rPr>
                <w:noProof/>
                <w:webHidden/>
              </w:rPr>
              <w:fldChar w:fldCharType="end"/>
            </w:r>
          </w:hyperlink>
        </w:p>
        <w:p w:rsidR="00F44978" w:rsidRDefault="00F44978">
          <w:pPr>
            <w:pStyle w:val="TOC3"/>
            <w:tabs>
              <w:tab w:val="left" w:pos="880"/>
              <w:tab w:val="right" w:leader="dot" w:pos="10790"/>
            </w:tabs>
            <w:rPr>
              <w:rFonts w:eastAsiaTheme="minorEastAsia"/>
              <w:noProof/>
            </w:rPr>
          </w:pPr>
          <w:hyperlink w:anchor="_Toc390246599" w:history="1">
            <w:r w:rsidRPr="000D2911">
              <w:rPr>
                <w:rStyle w:val="Hyperlink"/>
                <w:noProof/>
              </w:rPr>
              <w:t>2.</w:t>
            </w:r>
            <w:r>
              <w:rPr>
                <w:rFonts w:eastAsiaTheme="minorEastAsia"/>
                <w:noProof/>
              </w:rPr>
              <w:tab/>
            </w:r>
            <w:r w:rsidRPr="000D2911">
              <w:rPr>
                <w:rStyle w:val="Hyperlink"/>
                <w:noProof/>
              </w:rPr>
              <w:t>Design Overview/Component Choice</w:t>
            </w:r>
            <w:r>
              <w:rPr>
                <w:noProof/>
                <w:webHidden/>
              </w:rPr>
              <w:tab/>
            </w:r>
            <w:r>
              <w:rPr>
                <w:noProof/>
                <w:webHidden/>
              </w:rPr>
              <w:fldChar w:fldCharType="begin"/>
            </w:r>
            <w:r>
              <w:rPr>
                <w:noProof/>
                <w:webHidden/>
              </w:rPr>
              <w:instrText xml:space="preserve"> PAGEREF _Toc390246599 \h </w:instrText>
            </w:r>
            <w:r>
              <w:rPr>
                <w:noProof/>
                <w:webHidden/>
              </w:rPr>
            </w:r>
            <w:r>
              <w:rPr>
                <w:noProof/>
                <w:webHidden/>
              </w:rPr>
              <w:fldChar w:fldCharType="separate"/>
            </w:r>
            <w:r>
              <w:rPr>
                <w:noProof/>
                <w:webHidden/>
              </w:rPr>
              <w:t>3</w:t>
            </w:r>
            <w:r>
              <w:rPr>
                <w:noProof/>
                <w:webHidden/>
              </w:rPr>
              <w:fldChar w:fldCharType="end"/>
            </w:r>
          </w:hyperlink>
        </w:p>
        <w:p w:rsidR="00F44978" w:rsidRDefault="00F44978">
          <w:pPr>
            <w:pStyle w:val="TOC1"/>
            <w:tabs>
              <w:tab w:val="left" w:pos="440"/>
              <w:tab w:val="right" w:leader="dot" w:pos="10790"/>
            </w:tabs>
            <w:rPr>
              <w:rFonts w:eastAsiaTheme="minorEastAsia"/>
              <w:noProof/>
            </w:rPr>
          </w:pPr>
          <w:hyperlink w:anchor="_Toc390246600" w:history="1">
            <w:r w:rsidRPr="000D2911">
              <w:rPr>
                <w:rStyle w:val="Hyperlink"/>
                <w:noProof/>
              </w:rPr>
              <w:t>II.</w:t>
            </w:r>
            <w:r>
              <w:rPr>
                <w:rFonts w:eastAsiaTheme="minorEastAsia"/>
                <w:noProof/>
              </w:rPr>
              <w:tab/>
            </w:r>
            <w:r w:rsidRPr="000D2911">
              <w:rPr>
                <w:rStyle w:val="Hyperlink"/>
                <w:noProof/>
              </w:rPr>
              <w:t>On/Off Control and Emergency Stop</w:t>
            </w:r>
            <w:r>
              <w:rPr>
                <w:noProof/>
                <w:webHidden/>
              </w:rPr>
              <w:tab/>
            </w:r>
            <w:r>
              <w:rPr>
                <w:noProof/>
                <w:webHidden/>
              </w:rPr>
              <w:fldChar w:fldCharType="begin"/>
            </w:r>
            <w:r>
              <w:rPr>
                <w:noProof/>
                <w:webHidden/>
              </w:rPr>
              <w:instrText xml:space="preserve"> PAGEREF _Toc390246600 \h </w:instrText>
            </w:r>
            <w:r>
              <w:rPr>
                <w:noProof/>
                <w:webHidden/>
              </w:rPr>
            </w:r>
            <w:r>
              <w:rPr>
                <w:noProof/>
                <w:webHidden/>
              </w:rPr>
              <w:fldChar w:fldCharType="separate"/>
            </w:r>
            <w:r>
              <w:rPr>
                <w:noProof/>
                <w:webHidden/>
              </w:rPr>
              <w:t>4</w:t>
            </w:r>
            <w:r>
              <w:rPr>
                <w:noProof/>
                <w:webHidden/>
              </w:rPr>
              <w:fldChar w:fldCharType="end"/>
            </w:r>
          </w:hyperlink>
        </w:p>
        <w:p w:rsidR="00F44978" w:rsidRDefault="00F44978">
          <w:pPr>
            <w:pStyle w:val="TOC2"/>
            <w:tabs>
              <w:tab w:val="left" w:pos="660"/>
              <w:tab w:val="right" w:leader="dot" w:pos="10790"/>
            </w:tabs>
            <w:rPr>
              <w:rFonts w:eastAsiaTheme="minorEastAsia"/>
              <w:noProof/>
            </w:rPr>
          </w:pPr>
          <w:hyperlink w:anchor="_Toc390246601" w:history="1">
            <w:r w:rsidRPr="000D2911">
              <w:rPr>
                <w:rStyle w:val="Hyperlink"/>
                <w:noProof/>
              </w:rPr>
              <w:t>A.</w:t>
            </w:r>
            <w:r>
              <w:rPr>
                <w:rFonts w:eastAsiaTheme="minorEastAsia"/>
                <w:noProof/>
              </w:rPr>
              <w:tab/>
            </w:r>
            <w:r w:rsidRPr="000D2911">
              <w:rPr>
                <w:rStyle w:val="Hyperlink"/>
                <w:noProof/>
              </w:rPr>
              <w:t>On/Off Control and Emergency Stop Overview</w:t>
            </w:r>
            <w:r>
              <w:rPr>
                <w:noProof/>
                <w:webHidden/>
              </w:rPr>
              <w:tab/>
            </w:r>
            <w:r>
              <w:rPr>
                <w:noProof/>
                <w:webHidden/>
              </w:rPr>
              <w:fldChar w:fldCharType="begin"/>
            </w:r>
            <w:r>
              <w:rPr>
                <w:noProof/>
                <w:webHidden/>
              </w:rPr>
              <w:instrText xml:space="preserve"> PAGEREF _Toc390246601 \h </w:instrText>
            </w:r>
            <w:r>
              <w:rPr>
                <w:noProof/>
                <w:webHidden/>
              </w:rPr>
            </w:r>
            <w:r>
              <w:rPr>
                <w:noProof/>
                <w:webHidden/>
              </w:rPr>
              <w:fldChar w:fldCharType="separate"/>
            </w:r>
            <w:r>
              <w:rPr>
                <w:noProof/>
                <w:webHidden/>
              </w:rPr>
              <w:t>4</w:t>
            </w:r>
            <w:r>
              <w:rPr>
                <w:noProof/>
                <w:webHidden/>
              </w:rPr>
              <w:fldChar w:fldCharType="end"/>
            </w:r>
          </w:hyperlink>
        </w:p>
        <w:p w:rsidR="00F44978" w:rsidRDefault="00F44978">
          <w:pPr>
            <w:pStyle w:val="TOC2"/>
            <w:tabs>
              <w:tab w:val="left" w:pos="660"/>
              <w:tab w:val="right" w:leader="dot" w:pos="10790"/>
            </w:tabs>
            <w:rPr>
              <w:rFonts w:eastAsiaTheme="minorEastAsia"/>
              <w:noProof/>
            </w:rPr>
          </w:pPr>
          <w:hyperlink w:anchor="_Toc390246602" w:history="1">
            <w:r w:rsidRPr="000D2911">
              <w:rPr>
                <w:rStyle w:val="Hyperlink"/>
                <w:noProof/>
              </w:rPr>
              <w:t>B.</w:t>
            </w:r>
            <w:r>
              <w:rPr>
                <w:rFonts w:eastAsiaTheme="minorEastAsia"/>
                <w:noProof/>
              </w:rPr>
              <w:tab/>
            </w:r>
            <w:r w:rsidRPr="000D2911">
              <w:rPr>
                <w:rStyle w:val="Hyperlink"/>
                <w:noProof/>
              </w:rPr>
              <w:t>On/Off Control and Emergency Stop</w:t>
            </w:r>
            <w:r>
              <w:rPr>
                <w:noProof/>
                <w:webHidden/>
              </w:rPr>
              <w:tab/>
            </w:r>
            <w:r>
              <w:rPr>
                <w:noProof/>
                <w:webHidden/>
              </w:rPr>
              <w:fldChar w:fldCharType="begin"/>
            </w:r>
            <w:r>
              <w:rPr>
                <w:noProof/>
                <w:webHidden/>
              </w:rPr>
              <w:instrText xml:space="preserve"> PAGEREF _Toc390246602 \h </w:instrText>
            </w:r>
            <w:r>
              <w:rPr>
                <w:noProof/>
                <w:webHidden/>
              </w:rPr>
            </w:r>
            <w:r>
              <w:rPr>
                <w:noProof/>
                <w:webHidden/>
              </w:rPr>
              <w:fldChar w:fldCharType="separate"/>
            </w:r>
            <w:r>
              <w:rPr>
                <w:noProof/>
                <w:webHidden/>
              </w:rPr>
              <w:t>4</w:t>
            </w:r>
            <w:r>
              <w:rPr>
                <w:noProof/>
                <w:webHidden/>
              </w:rPr>
              <w:fldChar w:fldCharType="end"/>
            </w:r>
          </w:hyperlink>
        </w:p>
        <w:p w:rsidR="00F44978" w:rsidRDefault="00F44978">
          <w:pPr>
            <w:pStyle w:val="TOC3"/>
            <w:tabs>
              <w:tab w:val="left" w:pos="880"/>
              <w:tab w:val="right" w:leader="dot" w:pos="10790"/>
            </w:tabs>
            <w:rPr>
              <w:rFonts w:eastAsiaTheme="minorEastAsia"/>
              <w:noProof/>
            </w:rPr>
          </w:pPr>
          <w:hyperlink w:anchor="_Toc390246603" w:history="1">
            <w:r w:rsidRPr="000D2911">
              <w:rPr>
                <w:rStyle w:val="Hyperlink"/>
                <w:noProof/>
              </w:rPr>
              <w:t>1.</w:t>
            </w:r>
            <w:r>
              <w:rPr>
                <w:rFonts w:eastAsiaTheme="minorEastAsia"/>
                <w:noProof/>
              </w:rPr>
              <w:tab/>
            </w:r>
            <w:r w:rsidRPr="000D2911">
              <w:rPr>
                <w:rStyle w:val="Hyperlink"/>
                <w:noProof/>
              </w:rPr>
              <w:t>Component List</w:t>
            </w:r>
            <w:r>
              <w:rPr>
                <w:noProof/>
                <w:webHidden/>
              </w:rPr>
              <w:tab/>
            </w:r>
            <w:r>
              <w:rPr>
                <w:noProof/>
                <w:webHidden/>
              </w:rPr>
              <w:fldChar w:fldCharType="begin"/>
            </w:r>
            <w:r>
              <w:rPr>
                <w:noProof/>
                <w:webHidden/>
              </w:rPr>
              <w:instrText xml:space="preserve"> PAGEREF _Toc390246603 \h </w:instrText>
            </w:r>
            <w:r>
              <w:rPr>
                <w:noProof/>
                <w:webHidden/>
              </w:rPr>
            </w:r>
            <w:r>
              <w:rPr>
                <w:noProof/>
                <w:webHidden/>
              </w:rPr>
              <w:fldChar w:fldCharType="separate"/>
            </w:r>
            <w:r>
              <w:rPr>
                <w:noProof/>
                <w:webHidden/>
              </w:rPr>
              <w:t>4</w:t>
            </w:r>
            <w:r>
              <w:rPr>
                <w:noProof/>
                <w:webHidden/>
              </w:rPr>
              <w:fldChar w:fldCharType="end"/>
            </w:r>
          </w:hyperlink>
        </w:p>
        <w:p w:rsidR="00F44978" w:rsidRDefault="00F44978">
          <w:pPr>
            <w:pStyle w:val="TOC3"/>
            <w:tabs>
              <w:tab w:val="left" w:pos="880"/>
              <w:tab w:val="right" w:leader="dot" w:pos="10790"/>
            </w:tabs>
            <w:rPr>
              <w:rFonts w:eastAsiaTheme="minorEastAsia"/>
              <w:noProof/>
            </w:rPr>
          </w:pPr>
          <w:hyperlink w:anchor="_Toc390246604" w:history="1">
            <w:r w:rsidRPr="000D2911">
              <w:rPr>
                <w:rStyle w:val="Hyperlink"/>
                <w:noProof/>
              </w:rPr>
              <w:t>2.</w:t>
            </w:r>
            <w:r>
              <w:rPr>
                <w:rFonts w:eastAsiaTheme="minorEastAsia"/>
                <w:noProof/>
              </w:rPr>
              <w:tab/>
            </w:r>
            <w:r w:rsidRPr="000D2911">
              <w:rPr>
                <w:rStyle w:val="Hyperlink"/>
                <w:noProof/>
              </w:rPr>
              <w:t>Design Overvie</w:t>
            </w:r>
            <w:r w:rsidRPr="000D2911">
              <w:rPr>
                <w:rStyle w:val="Hyperlink"/>
                <w:noProof/>
              </w:rPr>
              <w:t>w</w:t>
            </w:r>
            <w:r w:rsidRPr="000D2911">
              <w:rPr>
                <w:rStyle w:val="Hyperlink"/>
                <w:noProof/>
              </w:rPr>
              <w:t>/Component Choice</w:t>
            </w:r>
            <w:r>
              <w:rPr>
                <w:noProof/>
                <w:webHidden/>
              </w:rPr>
              <w:tab/>
            </w:r>
            <w:r>
              <w:rPr>
                <w:noProof/>
                <w:webHidden/>
              </w:rPr>
              <w:fldChar w:fldCharType="begin"/>
            </w:r>
            <w:r>
              <w:rPr>
                <w:noProof/>
                <w:webHidden/>
              </w:rPr>
              <w:instrText xml:space="preserve"> PAGEREF _Toc390246604 \h </w:instrText>
            </w:r>
            <w:r>
              <w:rPr>
                <w:noProof/>
                <w:webHidden/>
              </w:rPr>
            </w:r>
            <w:r>
              <w:rPr>
                <w:noProof/>
                <w:webHidden/>
              </w:rPr>
              <w:fldChar w:fldCharType="separate"/>
            </w:r>
            <w:r>
              <w:rPr>
                <w:noProof/>
                <w:webHidden/>
              </w:rPr>
              <w:t>4</w:t>
            </w:r>
            <w:r>
              <w:rPr>
                <w:noProof/>
                <w:webHidden/>
              </w:rPr>
              <w:fldChar w:fldCharType="end"/>
            </w:r>
          </w:hyperlink>
        </w:p>
        <w:p w:rsidR="00113883" w:rsidRDefault="004F6001">
          <w:r>
            <w:fldChar w:fldCharType="end"/>
          </w:r>
        </w:p>
      </w:sdtContent>
    </w:sdt>
    <w:p w:rsidR="00113883" w:rsidRDefault="00113883">
      <w:pPr>
        <w:rPr>
          <w:rFonts w:asciiTheme="majorHAnsi" w:eastAsiaTheme="majorEastAsia" w:hAnsiTheme="majorHAnsi" w:cstheme="majorBidi"/>
          <w:b/>
          <w:bCs/>
          <w:color w:val="365F91" w:themeColor="accent1" w:themeShade="BF"/>
          <w:sz w:val="28"/>
          <w:szCs w:val="28"/>
        </w:rPr>
      </w:pPr>
      <w:r>
        <w:br w:type="page"/>
      </w:r>
    </w:p>
    <w:p w:rsidR="00486163" w:rsidRDefault="00601EAE" w:rsidP="00E93658">
      <w:pPr>
        <w:pStyle w:val="Heading1"/>
      </w:pPr>
      <w:bookmarkStart w:id="0" w:name="_Toc390246595"/>
      <w:proofErr w:type="spellStart"/>
      <w:r>
        <w:lastRenderedPageBreak/>
        <w:t>Precharge</w:t>
      </w:r>
      <w:proofErr w:type="spellEnd"/>
      <w:r>
        <w:t xml:space="preserve"> </w:t>
      </w:r>
      <w:r w:rsidR="00F2791C">
        <w:t>C</w:t>
      </w:r>
      <w:r>
        <w:t>ircuit</w:t>
      </w:r>
      <w:bookmarkEnd w:id="0"/>
    </w:p>
    <w:p w:rsidR="009177FC" w:rsidRDefault="00601EAE" w:rsidP="009177FC">
      <w:pPr>
        <w:pStyle w:val="Heading2"/>
      </w:pPr>
      <w:bookmarkStart w:id="1" w:name="_Toc390246596"/>
      <w:proofErr w:type="spellStart"/>
      <w:r>
        <w:t>Precharge</w:t>
      </w:r>
      <w:proofErr w:type="spellEnd"/>
      <w:r>
        <w:t xml:space="preserve"> Circuit </w:t>
      </w:r>
      <w:r w:rsidR="009177FC">
        <w:t>Overview</w:t>
      </w:r>
      <w:bookmarkEnd w:id="1"/>
    </w:p>
    <w:p w:rsidR="00496F9C" w:rsidRPr="001F7E51" w:rsidRDefault="00601EAE" w:rsidP="00601EAE">
      <w:pPr>
        <w:ind w:left="720"/>
      </w:pPr>
      <w:r>
        <w:t xml:space="preserve">The capacitor </w:t>
      </w:r>
      <w:proofErr w:type="spellStart"/>
      <w:r>
        <w:t>precharge</w:t>
      </w:r>
      <w:proofErr w:type="spellEnd"/>
      <w:r>
        <w:t xml:space="preserve"> circuit initially connects the capacitor array board to a low resistance, high current resistor allowing the capacitors to charge gradually instead of initially being connected directly to the batteries. Two low current resistors are used to create a voltage divider to act as a reference voltage for a comparator. </w:t>
      </w:r>
      <w:proofErr w:type="gramStart"/>
      <w:r>
        <w:t>Once the comparator detects that the capacitors have charged to a voltage greater than the one set by the voltage divider, the comparator supplies power turning on a transistor.</w:t>
      </w:r>
      <w:proofErr w:type="gramEnd"/>
      <w:r>
        <w:t xml:space="preserve"> The transistor is high current to be able to supply sufficient current sink to turn on an external relay which bypasses the </w:t>
      </w:r>
      <w:proofErr w:type="spellStart"/>
      <w:r>
        <w:t>precharge</w:t>
      </w:r>
      <w:proofErr w:type="spellEnd"/>
      <w:r>
        <w:t xml:space="preserve"> resistor</w:t>
      </w:r>
      <w:r w:rsidR="00E226AD">
        <w:t xml:space="preserve"> and connects the capacitor array board directly to the battery supplies. </w:t>
      </w:r>
    </w:p>
    <w:p w:rsidR="00E93658" w:rsidRDefault="00F2791C" w:rsidP="00E93658">
      <w:pPr>
        <w:pStyle w:val="Heading2"/>
      </w:pPr>
      <w:bookmarkStart w:id="2" w:name="_Toc390246597"/>
      <w:proofErr w:type="spellStart"/>
      <w:r>
        <w:t>Precharge</w:t>
      </w:r>
      <w:proofErr w:type="spellEnd"/>
      <w:r>
        <w:t xml:space="preserve"> Circuit</w:t>
      </w:r>
      <w:bookmarkEnd w:id="2"/>
    </w:p>
    <w:p w:rsidR="00E93658" w:rsidRDefault="00E93658" w:rsidP="00E93658">
      <w:pPr>
        <w:pStyle w:val="Heading3"/>
      </w:pPr>
      <w:bookmarkStart w:id="3" w:name="_Toc390246598"/>
      <w:r>
        <w:t>Component List</w:t>
      </w:r>
      <w:bookmarkEnd w:id="3"/>
    </w:p>
    <w:tbl>
      <w:tblPr>
        <w:tblStyle w:val="TableGrid"/>
        <w:tblW w:w="0" w:type="auto"/>
        <w:tblInd w:w="2268" w:type="dxa"/>
        <w:tblLook w:val="04A0"/>
      </w:tblPr>
      <w:tblGrid>
        <w:gridCol w:w="558"/>
        <w:gridCol w:w="630"/>
        <w:gridCol w:w="630"/>
        <w:gridCol w:w="630"/>
        <w:gridCol w:w="522"/>
        <w:gridCol w:w="1260"/>
        <w:gridCol w:w="990"/>
      </w:tblGrid>
      <w:tr w:rsidR="00E1692F" w:rsidTr="00E1692F">
        <w:tc>
          <w:tcPr>
            <w:tcW w:w="558" w:type="dxa"/>
          </w:tcPr>
          <w:p w:rsidR="00E1692F" w:rsidRDefault="00E1692F" w:rsidP="007E539E">
            <w:r>
              <w:t>IC1</w:t>
            </w:r>
          </w:p>
        </w:tc>
        <w:tc>
          <w:tcPr>
            <w:tcW w:w="630" w:type="dxa"/>
          </w:tcPr>
          <w:p w:rsidR="00E1692F" w:rsidRDefault="00E1692F" w:rsidP="007336F6">
            <w:r>
              <w:t>Q1</w:t>
            </w:r>
          </w:p>
        </w:tc>
        <w:tc>
          <w:tcPr>
            <w:tcW w:w="630" w:type="dxa"/>
          </w:tcPr>
          <w:p w:rsidR="00E1692F" w:rsidRDefault="00E1692F" w:rsidP="007336F6">
            <w:r>
              <w:t>R1</w:t>
            </w:r>
          </w:p>
        </w:tc>
        <w:tc>
          <w:tcPr>
            <w:tcW w:w="630" w:type="dxa"/>
          </w:tcPr>
          <w:p w:rsidR="00E1692F" w:rsidRDefault="00E1692F" w:rsidP="007336F6">
            <w:r>
              <w:t>R2</w:t>
            </w:r>
          </w:p>
        </w:tc>
        <w:tc>
          <w:tcPr>
            <w:tcW w:w="522" w:type="dxa"/>
          </w:tcPr>
          <w:p w:rsidR="00E1692F" w:rsidRDefault="00E1692F" w:rsidP="007336F6">
            <w:r>
              <w:t>R3</w:t>
            </w:r>
          </w:p>
        </w:tc>
        <w:tc>
          <w:tcPr>
            <w:tcW w:w="1260" w:type="dxa"/>
          </w:tcPr>
          <w:p w:rsidR="00E1692F" w:rsidRDefault="00E1692F" w:rsidP="007336F6">
            <w:r>
              <w:t>R_CHARGE</w:t>
            </w:r>
          </w:p>
        </w:tc>
        <w:tc>
          <w:tcPr>
            <w:tcW w:w="990" w:type="dxa"/>
          </w:tcPr>
          <w:p w:rsidR="00E1692F" w:rsidRDefault="00E1692F" w:rsidP="007336F6">
            <w:r>
              <w:t>RELAY3</w:t>
            </w:r>
          </w:p>
        </w:tc>
      </w:tr>
    </w:tbl>
    <w:p w:rsidR="00E93658" w:rsidRDefault="00E93658" w:rsidP="00E93658">
      <w:pPr>
        <w:pStyle w:val="Heading3"/>
      </w:pPr>
      <w:bookmarkStart w:id="4" w:name="_Toc390246599"/>
      <w:r>
        <w:t>Design Overview</w:t>
      </w:r>
      <w:r w:rsidR="002E7AAE">
        <w:t>/Component Choice</w:t>
      </w:r>
      <w:bookmarkEnd w:id="4"/>
    </w:p>
    <w:p w:rsidR="009A4481" w:rsidRDefault="00F50C7D" w:rsidP="00F50C7D">
      <w:pPr>
        <w:pStyle w:val="Heading4"/>
      </w:pPr>
      <w:r>
        <w:t>Voltage Divider</w:t>
      </w:r>
    </w:p>
    <w:p w:rsidR="00F50C7D" w:rsidRDefault="00F50C7D" w:rsidP="00F50C7D">
      <w:pPr>
        <w:ind w:left="2160"/>
      </w:pPr>
      <w:r w:rsidRPr="00F50C7D">
        <w:t xml:space="preserve">It was arbitrarily determined that the capacitor array had been sufficiently </w:t>
      </w:r>
      <w:proofErr w:type="spellStart"/>
      <w:r w:rsidRPr="00F50C7D">
        <w:t>precharged</w:t>
      </w:r>
      <w:proofErr w:type="spellEnd"/>
      <w:r w:rsidRPr="00F50C7D">
        <w:t xml:space="preserve"> when they had reached 95% of their maximum voltage. In this case, with a 24 volt supply the </w:t>
      </w:r>
      <w:proofErr w:type="spellStart"/>
      <w:r w:rsidRPr="00F50C7D">
        <w:t>precharge</w:t>
      </w:r>
      <w:proofErr w:type="spellEnd"/>
      <w:r w:rsidRPr="00F50C7D">
        <w:t xml:space="preserve"> state would be complete once the capacitors had reached roughly 23 volts. The resistor values were chosen to provide the appropriate voltage divider reference for the comparator and also have high enough values so as to not draw a significant amount of current from the batteries.</w:t>
      </w:r>
    </w:p>
    <w:p w:rsidR="00F50C7D" w:rsidRDefault="00F50C7D" w:rsidP="00F50C7D">
      <w:pPr>
        <w:pStyle w:val="Heading4"/>
      </w:pPr>
      <w:proofErr w:type="spellStart"/>
      <w:r>
        <w:t>R_Charge</w:t>
      </w:r>
      <w:proofErr w:type="spellEnd"/>
    </w:p>
    <w:p w:rsidR="00F50C7D" w:rsidRDefault="00F50C7D" w:rsidP="00F50C7D">
      <w:pPr>
        <w:ind w:left="2160"/>
      </w:pPr>
      <w:r>
        <w:t xml:space="preserve">The use of a </w:t>
      </w:r>
      <w:r w:rsidRPr="00F50C7D">
        <w:t>10 ohm resistor means that the charge time will be greater than a few seconds</w:t>
      </w:r>
      <w:r>
        <w:t xml:space="preserve"> (with the capacitor array fully stuffed) </w:t>
      </w:r>
      <w:r w:rsidRPr="00F50C7D">
        <w:t xml:space="preserve">but not take more than a minute to charge the capacitors. At 10 ohms, the resistor needs to be able to handle a max of 60 watts of power across it. The TEH70 is rated for applications of up to 70 watts. Although the amount of time that the resistor would produce much heat would be minimal (since once the </w:t>
      </w:r>
      <w:proofErr w:type="spellStart"/>
      <w:r w:rsidRPr="00F50C7D">
        <w:t>precharge</w:t>
      </w:r>
      <w:proofErr w:type="spellEnd"/>
      <w:r w:rsidRPr="00F50C7D">
        <w:t xml:space="preserve"> is complete the resistor is bypassed through the high current relay), this model resistor will have a heat sink with it to ensure that there is proper heat dissipation.</w:t>
      </w:r>
    </w:p>
    <w:p w:rsidR="00F50C7D" w:rsidRDefault="00F50C7D" w:rsidP="00F50C7D">
      <w:pPr>
        <w:pStyle w:val="Heading4"/>
      </w:pPr>
      <w:r>
        <w:t>Comparator</w:t>
      </w:r>
    </w:p>
    <w:p w:rsidR="00F50C7D" w:rsidRDefault="00F50C7D" w:rsidP="00F50C7D">
      <w:pPr>
        <w:ind w:left="2160"/>
      </w:pPr>
      <w:r>
        <w:t xml:space="preserve">The TL331 single comparator was chosen for being a readily available component that is able to operate at the necessary input voltage range (2v to 36v). </w:t>
      </w:r>
    </w:p>
    <w:p w:rsidR="00F50C7D" w:rsidRDefault="00F33F7F" w:rsidP="00F50C7D">
      <w:pPr>
        <w:pStyle w:val="Heading4"/>
      </w:pPr>
      <w:r>
        <w:t>Switching Transistor</w:t>
      </w:r>
    </w:p>
    <w:p w:rsidR="009A4481" w:rsidRDefault="00F33F7F" w:rsidP="009526B4">
      <w:pPr>
        <w:ind w:left="2160"/>
      </w:pPr>
      <w:r>
        <w:t xml:space="preserve">Once the capacitors have sufficiently </w:t>
      </w:r>
      <w:proofErr w:type="spellStart"/>
      <w:r>
        <w:t>precharged</w:t>
      </w:r>
      <w:proofErr w:type="spellEnd"/>
      <w:r>
        <w:t xml:space="preserve">, the comparator produces an output high to turn on a high current NMOS transistor. </w:t>
      </w:r>
      <w:proofErr w:type="gramStart"/>
      <w:r>
        <w:t>Using an NMOS transistor allowed for low side switching to enable the high current relay.</w:t>
      </w:r>
      <w:proofErr w:type="gramEnd"/>
      <w:r>
        <w:t xml:space="preserve"> </w:t>
      </w:r>
      <w:r w:rsidR="009526B4">
        <w:t xml:space="preserve">The MOS transistor was chosen so that only a voltage level at the transistor gate would be needed to turn it on instead of needing additional </w:t>
      </w:r>
      <w:r w:rsidR="009526B4">
        <w:lastRenderedPageBreak/>
        <w:t>components to ensure sufficient current to a BJT. The STW11NM80 is</w:t>
      </w:r>
      <w:r>
        <w:t xml:space="preserve"> also </w:t>
      </w:r>
      <w:r w:rsidR="009526B4">
        <w:t xml:space="preserve">rated to handle a </w:t>
      </w:r>
      <w:proofErr w:type="spellStart"/>
      <w:r w:rsidR="009526B4">
        <w:t>Vgs</w:t>
      </w:r>
      <w:proofErr w:type="spellEnd"/>
      <w:r>
        <w:t xml:space="preserve"> voltage of 30V, meaning that it won't be a problem to have 24v volts between the gate and the source.</w:t>
      </w:r>
    </w:p>
    <w:p w:rsidR="00BA2739" w:rsidRDefault="00BA2739" w:rsidP="00BA2739">
      <w:pPr>
        <w:pStyle w:val="Heading4"/>
      </w:pPr>
      <w:r>
        <w:t>Relay3</w:t>
      </w:r>
    </w:p>
    <w:p w:rsidR="00BA2739" w:rsidRPr="00BA2739" w:rsidRDefault="00BA2739" w:rsidP="00BA2739">
      <w:pPr>
        <w:ind w:left="2160"/>
      </w:pPr>
      <w:r>
        <w:t xml:space="preserve">Relay3 is a high current relay that bypasses the </w:t>
      </w:r>
      <w:proofErr w:type="spellStart"/>
      <w:r>
        <w:t>precharge</w:t>
      </w:r>
      <w:proofErr w:type="spellEnd"/>
      <w:r>
        <w:t xml:space="preserve"> resistor once the capacitors have been sufficiently charged. It is enabled by the switching transistor, which is controlled by the output of the comparator. Relay3 needed to be rated at a sufficient current to effectively allow the capacitors to be directly connected to the batteries. It was configured in the circuit to operate using low side control.</w:t>
      </w:r>
      <w:r w:rsidR="00004E66">
        <w:t xml:space="preserve"> The relay is classified as “tractor parts”. </w:t>
      </w:r>
    </w:p>
    <w:p w:rsidR="007336F6" w:rsidRDefault="00832A2B" w:rsidP="007336F6">
      <w:pPr>
        <w:pStyle w:val="Heading1"/>
      </w:pPr>
      <w:bookmarkStart w:id="5" w:name="_Toc390246600"/>
      <w:r>
        <w:t xml:space="preserve">On/Off </w:t>
      </w:r>
      <w:r w:rsidR="00BA2739">
        <w:t>Control</w:t>
      </w:r>
      <w:r>
        <w:t xml:space="preserve"> and Emergency Stop</w:t>
      </w:r>
      <w:bookmarkEnd w:id="5"/>
    </w:p>
    <w:p w:rsidR="007336F6" w:rsidRDefault="00832A2B" w:rsidP="007336F6">
      <w:pPr>
        <w:pStyle w:val="Heading2"/>
      </w:pPr>
      <w:bookmarkStart w:id="6" w:name="_Toc390246601"/>
      <w:r>
        <w:t xml:space="preserve">On/Off </w:t>
      </w:r>
      <w:r w:rsidR="00BA2739">
        <w:t>Control</w:t>
      </w:r>
      <w:r>
        <w:t xml:space="preserve"> and Emergency Stop Overview</w:t>
      </w:r>
      <w:bookmarkEnd w:id="6"/>
    </w:p>
    <w:p w:rsidR="007336F6" w:rsidRDefault="002D7F02" w:rsidP="007336F6">
      <w:pPr>
        <w:ind w:left="720"/>
      </w:pPr>
      <w:r>
        <w:t xml:space="preserve">The </w:t>
      </w:r>
      <w:proofErr w:type="spellStart"/>
      <w:r>
        <w:t>precharge</w:t>
      </w:r>
      <w:proofErr w:type="spellEnd"/>
      <w:r>
        <w:t xml:space="preserve"> system </w:t>
      </w:r>
      <w:r w:rsidR="00141228">
        <w:t xml:space="preserve">also provides an On/Off control via a switch as well as the “big-red-button”, emergency stop switch, which would disable and remove all power to the Rocket Tracks system if pressed. </w:t>
      </w:r>
      <w:r>
        <w:t xml:space="preserve"> </w:t>
      </w:r>
    </w:p>
    <w:p w:rsidR="00AD3AD6" w:rsidRDefault="002B7AB0" w:rsidP="00AD3AD6">
      <w:pPr>
        <w:pStyle w:val="Heading2"/>
      </w:pPr>
      <w:bookmarkStart w:id="7" w:name="_Toc390246602"/>
      <w:r w:rsidRPr="002B7AB0">
        <w:t>On/Off Control and Emergency Stop</w:t>
      </w:r>
      <w:bookmarkEnd w:id="7"/>
    </w:p>
    <w:p w:rsidR="007E539E" w:rsidRPr="007E539E" w:rsidRDefault="00AD3AD6" w:rsidP="007E539E">
      <w:pPr>
        <w:pStyle w:val="Heading3"/>
      </w:pPr>
      <w:bookmarkStart w:id="8" w:name="_Toc390246603"/>
      <w:r>
        <w:t>Component List</w:t>
      </w:r>
      <w:bookmarkEnd w:id="8"/>
    </w:p>
    <w:tbl>
      <w:tblPr>
        <w:tblStyle w:val="TableGrid"/>
        <w:tblW w:w="0" w:type="auto"/>
        <w:tblInd w:w="2268" w:type="dxa"/>
        <w:tblLook w:val="04A0"/>
      </w:tblPr>
      <w:tblGrid>
        <w:gridCol w:w="1377"/>
        <w:gridCol w:w="812"/>
        <w:gridCol w:w="812"/>
        <w:gridCol w:w="630"/>
        <w:gridCol w:w="959"/>
      </w:tblGrid>
      <w:tr w:rsidR="0038596D" w:rsidTr="002B7AB0">
        <w:tc>
          <w:tcPr>
            <w:tcW w:w="1377" w:type="dxa"/>
          </w:tcPr>
          <w:p w:rsidR="0038596D" w:rsidRDefault="002B7AB0" w:rsidP="007E539E">
            <w:proofErr w:type="spellStart"/>
            <w:r>
              <w:t>Main_Switch</w:t>
            </w:r>
            <w:proofErr w:type="spellEnd"/>
          </w:p>
        </w:tc>
        <w:tc>
          <w:tcPr>
            <w:tcW w:w="812" w:type="dxa"/>
          </w:tcPr>
          <w:p w:rsidR="0038596D" w:rsidRDefault="002B7AB0" w:rsidP="007E539E">
            <w:r>
              <w:t>Relay2</w:t>
            </w:r>
          </w:p>
        </w:tc>
        <w:tc>
          <w:tcPr>
            <w:tcW w:w="812" w:type="dxa"/>
          </w:tcPr>
          <w:p w:rsidR="0038596D" w:rsidRDefault="002B7AB0" w:rsidP="007E539E">
            <w:r>
              <w:t>Relay1</w:t>
            </w:r>
          </w:p>
        </w:tc>
        <w:tc>
          <w:tcPr>
            <w:tcW w:w="630" w:type="dxa"/>
          </w:tcPr>
          <w:p w:rsidR="0038596D" w:rsidRDefault="002B7AB0" w:rsidP="007E539E">
            <w:r>
              <w:t>Fuse</w:t>
            </w:r>
          </w:p>
        </w:tc>
        <w:tc>
          <w:tcPr>
            <w:tcW w:w="959" w:type="dxa"/>
          </w:tcPr>
          <w:p w:rsidR="0038596D" w:rsidRDefault="002B7AB0" w:rsidP="007E539E">
            <w:r>
              <w:t>E-Stop</w:t>
            </w:r>
          </w:p>
        </w:tc>
      </w:tr>
    </w:tbl>
    <w:p w:rsidR="007E539E" w:rsidRPr="007E539E" w:rsidRDefault="007E539E" w:rsidP="007E539E">
      <w:pPr>
        <w:pStyle w:val="Heading3"/>
      </w:pPr>
      <w:bookmarkStart w:id="9" w:name="_Toc390246604"/>
      <w:r>
        <w:t>Design Overview/Component Choice</w:t>
      </w:r>
      <w:bookmarkEnd w:id="9"/>
    </w:p>
    <w:p w:rsidR="007E539E" w:rsidRDefault="002B7AB0" w:rsidP="002B7AB0">
      <w:pPr>
        <w:pStyle w:val="Heading4"/>
      </w:pPr>
      <w:r>
        <w:t>Main Switch</w:t>
      </w:r>
    </w:p>
    <w:p w:rsidR="002B7AB0" w:rsidRDefault="002B7AB0" w:rsidP="002B7AB0">
      <w:pPr>
        <w:ind w:left="2160"/>
      </w:pPr>
      <w:r>
        <w:t xml:space="preserve">The Main Switch is a high current toggle switch which controls whether the rocket tracks system receives power from the batteries. </w:t>
      </w:r>
      <w:r w:rsidR="00E60434">
        <w:t xml:space="preserve">It has only two states – connected or disconnected. </w:t>
      </w:r>
    </w:p>
    <w:p w:rsidR="00E60434" w:rsidRDefault="00E60434" w:rsidP="00E60434">
      <w:pPr>
        <w:pStyle w:val="Heading4"/>
      </w:pPr>
      <w:r>
        <w:t>“Big-Red-Button”</w:t>
      </w:r>
    </w:p>
    <w:p w:rsidR="00E60434" w:rsidRPr="00E60434" w:rsidRDefault="00E60434" w:rsidP="00E60434">
      <w:pPr>
        <w:ind w:left="2160"/>
      </w:pPr>
      <w:r>
        <w:t xml:space="preserve">The “big-red-button” is an emergency stop switch which </w:t>
      </w:r>
      <w:r w:rsidR="00BD4BC9">
        <w:t>aids in removing power from the entire system</w:t>
      </w:r>
      <w:r>
        <w:t xml:space="preserve">.  </w:t>
      </w:r>
      <w:r w:rsidR="00004E66">
        <w:t xml:space="preserve">The emergency stop switch that was chosen does not support high current; because of this, the emergency stop switch controls </w:t>
      </w:r>
      <w:r w:rsidR="00BD4BC9">
        <w:t xml:space="preserve">Relay1, which controls the enable to Relay2, </w:t>
      </w:r>
      <w:r w:rsidR="00004E66">
        <w:t xml:space="preserve"> which does support </w:t>
      </w:r>
      <w:r w:rsidR="00611D69">
        <w:t xml:space="preserve">the </w:t>
      </w:r>
      <w:r w:rsidR="00004E66">
        <w:t>high current</w:t>
      </w:r>
      <w:r w:rsidR="00611D69">
        <w:t xml:space="preserve"> going</w:t>
      </w:r>
      <w:r w:rsidR="00004E66">
        <w:t xml:space="preserve"> to the system. </w:t>
      </w:r>
      <w:r w:rsidR="00611D69">
        <w:t>The high current relay is classified as “tractor parts”.</w:t>
      </w:r>
    </w:p>
    <w:sectPr w:rsidR="00E60434" w:rsidRPr="00E60434" w:rsidSect="00336198">
      <w:footerReference w:type="default" r:id="rId8"/>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4A7A" w:rsidRDefault="00754A7A" w:rsidP="00336198">
      <w:pPr>
        <w:spacing w:after="0" w:line="240" w:lineRule="auto"/>
      </w:pPr>
      <w:r>
        <w:separator/>
      </w:r>
    </w:p>
  </w:endnote>
  <w:endnote w:type="continuationSeparator" w:id="0">
    <w:p w:rsidR="00754A7A" w:rsidRDefault="00754A7A" w:rsidP="003361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53611"/>
      <w:docPartObj>
        <w:docPartGallery w:val="Page Numbers (Bottom of Page)"/>
        <w:docPartUnique/>
      </w:docPartObj>
    </w:sdtPr>
    <w:sdtEndPr>
      <w:rPr>
        <w:color w:val="7F7F7F" w:themeColor="background1" w:themeShade="7F"/>
        <w:spacing w:val="60"/>
      </w:rPr>
    </w:sdtEndPr>
    <w:sdtContent>
      <w:p w:rsidR="002D7F02" w:rsidRDefault="002D7F02">
        <w:pPr>
          <w:pStyle w:val="Footer"/>
          <w:pBdr>
            <w:top w:val="single" w:sz="4" w:space="1" w:color="D9D9D9" w:themeColor="background1" w:themeShade="D9"/>
          </w:pBdr>
          <w:jc w:val="right"/>
        </w:pPr>
        <w:fldSimple w:instr=" PAGE   \* MERGEFORMAT ">
          <w:r w:rsidR="00F44978">
            <w:rPr>
              <w:noProof/>
            </w:rPr>
            <w:t>1</w:t>
          </w:r>
        </w:fldSimple>
        <w:r>
          <w:t xml:space="preserve"> | </w:t>
        </w:r>
        <w:r>
          <w:rPr>
            <w:color w:val="7F7F7F" w:themeColor="background1" w:themeShade="7F"/>
            <w:spacing w:val="60"/>
          </w:rPr>
          <w:t>Page</w:t>
        </w:r>
      </w:p>
    </w:sdtContent>
  </w:sdt>
  <w:p w:rsidR="002D7F02" w:rsidRDefault="002D7F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4A7A" w:rsidRDefault="00754A7A" w:rsidP="00336198">
      <w:pPr>
        <w:spacing w:after="0" w:line="240" w:lineRule="auto"/>
      </w:pPr>
      <w:r>
        <w:separator/>
      </w:r>
    </w:p>
  </w:footnote>
  <w:footnote w:type="continuationSeparator" w:id="0">
    <w:p w:rsidR="00754A7A" w:rsidRDefault="00754A7A" w:rsidP="003361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E67D1"/>
    <w:multiLevelType w:val="hybridMultilevel"/>
    <w:tmpl w:val="006447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99C2D5E"/>
    <w:multiLevelType w:val="hybridMultilevel"/>
    <w:tmpl w:val="5A32A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D05D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50CC7120"/>
    <w:multiLevelType w:val="hybridMultilevel"/>
    <w:tmpl w:val="6EE6FB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D191728"/>
    <w:multiLevelType w:val="hybridMultilevel"/>
    <w:tmpl w:val="1DFCAC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49C4B7F"/>
    <w:multiLevelType w:val="hybridMultilevel"/>
    <w:tmpl w:val="A40CDBA6"/>
    <w:lvl w:ilvl="0" w:tplc="F45854B2">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2"/>
  </w:num>
  <w:num w:numId="3">
    <w:abstractNumId w:val="3"/>
  </w:num>
  <w:num w:numId="4">
    <w:abstractNumId w:val="0"/>
  </w:num>
  <w:num w:numId="5">
    <w:abstractNumId w:val="4"/>
  </w:num>
  <w:num w:numId="6">
    <w:abstractNumId w:val="5"/>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footnotePr>
    <w:footnote w:id="-1"/>
    <w:footnote w:id="0"/>
  </w:footnotePr>
  <w:endnotePr>
    <w:endnote w:id="-1"/>
    <w:endnote w:id="0"/>
  </w:endnotePr>
  <w:compat/>
  <w:rsids>
    <w:rsidRoot w:val="00486163"/>
    <w:rsid w:val="00004E66"/>
    <w:rsid w:val="00006D5D"/>
    <w:rsid w:val="000139CF"/>
    <w:rsid w:val="00021C2B"/>
    <w:rsid w:val="000412A8"/>
    <w:rsid w:val="00054CED"/>
    <w:rsid w:val="00096DF2"/>
    <w:rsid w:val="000972A5"/>
    <w:rsid w:val="000B58DF"/>
    <w:rsid w:val="000E0956"/>
    <w:rsid w:val="000F1606"/>
    <w:rsid w:val="000F37B2"/>
    <w:rsid w:val="001003D5"/>
    <w:rsid w:val="00100A9D"/>
    <w:rsid w:val="00106D17"/>
    <w:rsid w:val="00113883"/>
    <w:rsid w:val="001351CD"/>
    <w:rsid w:val="0013605D"/>
    <w:rsid w:val="00141228"/>
    <w:rsid w:val="00167239"/>
    <w:rsid w:val="001801C0"/>
    <w:rsid w:val="00192EB4"/>
    <w:rsid w:val="001955A4"/>
    <w:rsid w:val="001C2049"/>
    <w:rsid w:val="001D072D"/>
    <w:rsid w:val="001D7C21"/>
    <w:rsid w:val="001F7E51"/>
    <w:rsid w:val="002438C0"/>
    <w:rsid w:val="00252FF1"/>
    <w:rsid w:val="0027535E"/>
    <w:rsid w:val="002A45DE"/>
    <w:rsid w:val="002B7AB0"/>
    <w:rsid w:val="002C735C"/>
    <w:rsid w:val="002C78EE"/>
    <w:rsid w:val="002D7F02"/>
    <w:rsid w:val="002E7AAE"/>
    <w:rsid w:val="00330871"/>
    <w:rsid w:val="00336198"/>
    <w:rsid w:val="003476A3"/>
    <w:rsid w:val="00353047"/>
    <w:rsid w:val="0038073D"/>
    <w:rsid w:val="00383CB3"/>
    <w:rsid w:val="0038596D"/>
    <w:rsid w:val="003C5778"/>
    <w:rsid w:val="00401015"/>
    <w:rsid w:val="0042550E"/>
    <w:rsid w:val="00435D3C"/>
    <w:rsid w:val="004507FE"/>
    <w:rsid w:val="00451439"/>
    <w:rsid w:val="00486163"/>
    <w:rsid w:val="00491072"/>
    <w:rsid w:val="0049695D"/>
    <w:rsid w:val="00496F9C"/>
    <w:rsid w:val="004A4DAF"/>
    <w:rsid w:val="004F38FF"/>
    <w:rsid w:val="004F6001"/>
    <w:rsid w:val="00501F7B"/>
    <w:rsid w:val="00521B25"/>
    <w:rsid w:val="005A5660"/>
    <w:rsid w:val="005C56C4"/>
    <w:rsid w:val="005E00DE"/>
    <w:rsid w:val="00601EAE"/>
    <w:rsid w:val="0060525C"/>
    <w:rsid w:val="00611D69"/>
    <w:rsid w:val="00614834"/>
    <w:rsid w:val="006740E9"/>
    <w:rsid w:val="006917CC"/>
    <w:rsid w:val="00694C61"/>
    <w:rsid w:val="006A0CBF"/>
    <w:rsid w:val="006A7584"/>
    <w:rsid w:val="006B766B"/>
    <w:rsid w:val="006C310A"/>
    <w:rsid w:val="006C66F0"/>
    <w:rsid w:val="006C756D"/>
    <w:rsid w:val="00726950"/>
    <w:rsid w:val="007336F6"/>
    <w:rsid w:val="00754A7A"/>
    <w:rsid w:val="0076585D"/>
    <w:rsid w:val="00771534"/>
    <w:rsid w:val="007770A2"/>
    <w:rsid w:val="00786694"/>
    <w:rsid w:val="007E1BD9"/>
    <w:rsid w:val="007E528A"/>
    <w:rsid w:val="007E539E"/>
    <w:rsid w:val="00832A2B"/>
    <w:rsid w:val="008817F6"/>
    <w:rsid w:val="008E74CD"/>
    <w:rsid w:val="00906540"/>
    <w:rsid w:val="009177FC"/>
    <w:rsid w:val="009220B1"/>
    <w:rsid w:val="00926D49"/>
    <w:rsid w:val="009526B4"/>
    <w:rsid w:val="009654FC"/>
    <w:rsid w:val="00973935"/>
    <w:rsid w:val="009772AA"/>
    <w:rsid w:val="0098525D"/>
    <w:rsid w:val="009A4481"/>
    <w:rsid w:val="009B6EEE"/>
    <w:rsid w:val="009C6B34"/>
    <w:rsid w:val="009D46BF"/>
    <w:rsid w:val="009E7ED5"/>
    <w:rsid w:val="00A14AAC"/>
    <w:rsid w:val="00A171EF"/>
    <w:rsid w:val="00A17818"/>
    <w:rsid w:val="00A25A1E"/>
    <w:rsid w:val="00A54FBC"/>
    <w:rsid w:val="00A65FC0"/>
    <w:rsid w:val="00A83A7F"/>
    <w:rsid w:val="00AD3AD6"/>
    <w:rsid w:val="00AE4030"/>
    <w:rsid w:val="00B10EE5"/>
    <w:rsid w:val="00B20083"/>
    <w:rsid w:val="00B2140D"/>
    <w:rsid w:val="00B615E0"/>
    <w:rsid w:val="00B65616"/>
    <w:rsid w:val="00B70CC7"/>
    <w:rsid w:val="00B8182D"/>
    <w:rsid w:val="00BA13AF"/>
    <w:rsid w:val="00BA2739"/>
    <w:rsid w:val="00BA69CC"/>
    <w:rsid w:val="00BD4BC9"/>
    <w:rsid w:val="00BD63ED"/>
    <w:rsid w:val="00C0049B"/>
    <w:rsid w:val="00C161A6"/>
    <w:rsid w:val="00C61691"/>
    <w:rsid w:val="00C6400D"/>
    <w:rsid w:val="00C64987"/>
    <w:rsid w:val="00C74706"/>
    <w:rsid w:val="00CA7F09"/>
    <w:rsid w:val="00CE5AE8"/>
    <w:rsid w:val="00CF55B4"/>
    <w:rsid w:val="00D12A65"/>
    <w:rsid w:val="00D157F9"/>
    <w:rsid w:val="00D21666"/>
    <w:rsid w:val="00D76F1B"/>
    <w:rsid w:val="00D95B3F"/>
    <w:rsid w:val="00DB5BA2"/>
    <w:rsid w:val="00DC338F"/>
    <w:rsid w:val="00DE542C"/>
    <w:rsid w:val="00E1692F"/>
    <w:rsid w:val="00E226AD"/>
    <w:rsid w:val="00E51D43"/>
    <w:rsid w:val="00E60434"/>
    <w:rsid w:val="00E71736"/>
    <w:rsid w:val="00E93658"/>
    <w:rsid w:val="00E95E76"/>
    <w:rsid w:val="00EC6E8F"/>
    <w:rsid w:val="00F23916"/>
    <w:rsid w:val="00F2791C"/>
    <w:rsid w:val="00F33C61"/>
    <w:rsid w:val="00F33F7F"/>
    <w:rsid w:val="00F44978"/>
    <w:rsid w:val="00F50C7D"/>
    <w:rsid w:val="00F671D1"/>
    <w:rsid w:val="00F86B4E"/>
    <w:rsid w:val="00F95EE0"/>
    <w:rsid w:val="00F97895"/>
    <w:rsid w:val="00FC4F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40D"/>
  </w:style>
  <w:style w:type="paragraph" w:styleId="Heading1">
    <w:name w:val="heading 1"/>
    <w:basedOn w:val="Normal"/>
    <w:next w:val="Normal"/>
    <w:link w:val="Heading1Char"/>
    <w:uiPriority w:val="9"/>
    <w:qFormat/>
    <w:rsid w:val="00486163"/>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6163"/>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3658"/>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3658"/>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9365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93658"/>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9365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9365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9365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1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61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936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36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936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936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936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936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93658"/>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353047"/>
    <w:rPr>
      <w:color w:val="808080"/>
    </w:rPr>
  </w:style>
  <w:style w:type="paragraph" w:styleId="BalloonText">
    <w:name w:val="Balloon Text"/>
    <w:basedOn w:val="Normal"/>
    <w:link w:val="BalloonTextChar"/>
    <w:uiPriority w:val="99"/>
    <w:semiHidden/>
    <w:unhideWhenUsed/>
    <w:rsid w:val="00353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047"/>
    <w:rPr>
      <w:rFonts w:ascii="Tahoma" w:hAnsi="Tahoma" w:cs="Tahoma"/>
      <w:sz w:val="16"/>
      <w:szCs w:val="16"/>
    </w:rPr>
  </w:style>
  <w:style w:type="paragraph" w:styleId="ListParagraph">
    <w:name w:val="List Paragraph"/>
    <w:basedOn w:val="Normal"/>
    <w:uiPriority w:val="34"/>
    <w:qFormat/>
    <w:rsid w:val="00D21666"/>
    <w:pPr>
      <w:ind w:left="720"/>
      <w:contextualSpacing/>
    </w:pPr>
  </w:style>
  <w:style w:type="paragraph" w:styleId="Title">
    <w:name w:val="Title"/>
    <w:basedOn w:val="Normal"/>
    <w:next w:val="Normal"/>
    <w:link w:val="TitleChar"/>
    <w:uiPriority w:val="10"/>
    <w:qFormat/>
    <w:rsid w:val="008817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17F6"/>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5E00DE"/>
    <w:rPr>
      <w:sz w:val="16"/>
      <w:szCs w:val="16"/>
    </w:rPr>
  </w:style>
  <w:style w:type="paragraph" w:styleId="CommentText">
    <w:name w:val="annotation text"/>
    <w:basedOn w:val="Normal"/>
    <w:link w:val="CommentTextChar"/>
    <w:uiPriority w:val="99"/>
    <w:semiHidden/>
    <w:unhideWhenUsed/>
    <w:rsid w:val="005E00DE"/>
    <w:pPr>
      <w:spacing w:line="240" w:lineRule="auto"/>
    </w:pPr>
    <w:rPr>
      <w:sz w:val="20"/>
      <w:szCs w:val="20"/>
    </w:rPr>
  </w:style>
  <w:style w:type="character" w:customStyle="1" w:styleId="CommentTextChar">
    <w:name w:val="Comment Text Char"/>
    <w:basedOn w:val="DefaultParagraphFont"/>
    <w:link w:val="CommentText"/>
    <w:uiPriority w:val="99"/>
    <w:semiHidden/>
    <w:rsid w:val="005E00DE"/>
    <w:rPr>
      <w:sz w:val="20"/>
      <w:szCs w:val="20"/>
    </w:rPr>
  </w:style>
  <w:style w:type="paragraph" w:styleId="CommentSubject">
    <w:name w:val="annotation subject"/>
    <w:basedOn w:val="CommentText"/>
    <w:next w:val="CommentText"/>
    <w:link w:val="CommentSubjectChar"/>
    <w:uiPriority w:val="99"/>
    <w:semiHidden/>
    <w:unhideWhenUsed/>
    <w:rsid w:val="005E00DE"/>
    <w:rPr>
      <w:b/>
      <w:bCs/>
    </w:rPr>
  </w:style>
  <w:style w:type="character" w:customStyle="1" w:styleId="CommentSubjectChar">
    <w:name w:val="Comment Subject Char"/>
    <w:basedOn w:val="CommentTextChar"/>
    <w:link w:val="CommentSubject"/>
    <w:uiPriority w:val="99"/>
    <w:semiHidden/>
    <w:rsid w:val="005E00DE"/>
    <w:rPr>
      <w:b/>
      <w:bCs/>
    </w:rPr>
  </w:style>
  <w:style w:type="paragraph" w:styleId="Header">
    <w:name w:val="header"/>
    <w:basedOn w:val="Normal"/>
    <w:link w:val="HeaderChar"/>
    <w:uiPriority w:val="99"/>
    <w:semiHidden/>
    <w:unhideWhenUsed/>
    <w:rsid w:val="003361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6198"/>
  </w:style>
  <w:style w:type="paragraph" w:styleId="Footer">
    <w:name w:val="footer"/>
    <w:basedOn w:val="Normal"/>
    <w:link w:val="FooterChar"/>
    <w:uiPriority w:val="99"/>
    <w:unhideWhenUsed/>
    <w:rsid w:val="00336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198"/>
  </w:style>
  <w:style w:type="paragraph" w:styleId="TOCHeading">
    <w:name w:val="TOC Heading"/>
    <w:basedOn w:val="Heading1"/>
    <w:next w:val="Normal"/>
    <w:uiPriority w:val="39"/>
    <w:semiHidden/>
    <w:unhideWhenUsed/>
    <w:qFormat/>
    <w:rsid w:val="00113883"/>
    <w:pPr>
      <w:numPr>
        <w:numId w:val="0"/>
      </w:numPr>
      <w:outlineLvl w:val="9"/>
    </w:pPr>
  </w:style>
  <w:style w:type="paragraph" w:styleId="TOC1">
    <w:name w:val="toc 1"/>
    <w:basedOn w:val="Normal"/>
    <w:next w:val="Normal"/>
    <w:autoRedefine/>
    <w:uiPriority w:val="39"/>
    <w:unhideWhenUsed/>
    <w:rsid w:val="00113883"/>
    <w:pPr>
      <w:spacing w:after="100"/>
    </w:pPr>
  </w:style>
  <w:style w:type="paragraph" w:styleId="TOC2">
    <w:name w:val="toc 2"/>
    <w:basedOn w:val="Normal"/>
    <w:next w:val="Normal"/>
    <w:autoRedefine/>
    <w:uiPriority w:val="39"/>
    <w:unhideWhenUsed/>
    <w:rsid w:val="00113883"/>
    <w:pPr>
      <w:spacing w:after="100"/>
      <w:ind w:left="220"/>
    </w:pPr>
  </w:style>
  <w:style w:type="paragraph" w:styleId="TOC3">
    <w:name w:val="toc 3"/>
    <w:basedOn w:val="Normal"/>
    <w:next w:val="Normal"/>
    <w:autoRedefine/>
    <w:uiPriority w:val="39"/>
    <w:unhideWhenUsed/>
    <w:rsid w:val="00113883"/>
    <w:pPr>
      <w:spacing w:after="100"/>
      <w:ind w:left="440"/>
    </w:pPr>
  </w:style>
  <w:style w:type="character" w:styleId="Hyperlink">
    <w:name w:val="Hyperlink"/>
    <w:basedOn w:val="DefaultParagraphFont"/>
    <w:uiPriority w:val="99"/>
    <w:unhideWhenUsed/>
    <w:rsid w:val="00113883"/>
    <w:rPr>
      <w:color w:val="0000FF" w:themeColor="hyperlink"/>
      <w:u w:val="single"/>
    </w:rPr>
  </w:style>
  <w:style w:type="paragraph" w:styleId="Subtitle">
    <w:name w:val="Subtitle"/>
    <w:basedOn w:val="Normal"/>
    <w:next w:val="Normal"/>
    <w:link w:val="SubtitleChar"/>
    <w:uiPriority w:val="11"/>
    <w:qFormat/>
    <w:rsid w:val="007658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585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8E74CD"/>
    <w:rPr>
      <w:i/>
      <w:iCs/>
      <w:color w:val="808080" w:themeColor="text1" w:themeTint="7F"/>
    </w:rPr>
  </w:style>
  <w:style w:type="character" w:styleId="Emphasis">
    <w:name w:val="Emphasis"/>
    <w:basedOn w:val="DefaultParagraphFont"/>
    <w:uiPriority w:val="20"/>
    <w:qFormat/>
    <w:rsid w:val="008E74CD"/>
    <w:rPr>
      <w:i/>
      <w:iCs/>
    </w:rPr>
  </w:style>
  <w:style w:type="table" w:styleId="TableGrid">
    <w:name w:val="Table Grid"/>
    <w:basedOn w:val="TableNormal"/>
    <w:uiPriority w:val="59"/>
    <w:rsid w:val="007336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4462484">
      <w:bodyDiv w:val="1"/>
      <w:marLeft w:val="0"/>
      <w:marRight w:val="0"/>
      <w:marTop w:val="0"/>
      <w:marBottom w:val="0"/>
      <w:divBdr>
        <w:top w:val="none" w:sz="0" w:space="0" w:color="auto"/>
        <w:left w:val="none" w:sz="0" w:space="0" w:color="auto"/>
        <w:bottom w:val="none" w:sz="0" w:space="0" w:color="auto"/>
        <w:right w:val="none" w:sz="0" w:space="0" w:color="auto"/>
      </w:divBdr>
    </w:div>
    <w:div w:id="308677076">
      <w:bodyDiv w:val="1"/>
      <w:marLeft w:val="0"/>
      <w:marRight w:val="0"/>
      <w:marTop w:val="0"/>
      <w:marBottom w:val="0"/>
      <w:divBdr>
        <w:top w:val="none" w:sz="0" w:space="0" w:color="auto"/>
        <w:left w:val="none" w:sz="0" w:space="0" w:color="auto"/>
        <w:bottom w:val="none" w:sz="0" w:space="0" w:color="auto"/>
        <w:right w:val="none" w:sz="0" w:space="0" w:color="auto"/>
      </w:divBdr>
    </w:div>
    <w:div w:id="371270087">
      <w:bodyDiv w:val="1"/>
      <w:marLeft w:val="0"/>
      <w:marRight w:val="0"/>
      <w:marTop w:val="0"/>
      <w:marBottom w:val="0"/>
      <w:divBdr>
        <w:top w:val="none" w:sz="0" w:space="0" w:color="auto"/>
        <w:left w:val="none" w:sz="0" w:space="0" w:color="auto"/>
        <w:bottom w:val="none" w:sz="0" w:space="0" w:color="auto"/>
        <w:right w:val="none" w:sz="0" w:space="0" w:color="auto"/>
      </w:divBdr>
    </w:div>
    <w:div w:id="396974294">
      <w:bodyDiv w:val="1"/>
      <w:marLeft w:val="0"/>
      <w:marRight w:val="0"/>
      <w:marTop w:val="0"/>
      <w:marBottom w:val="0"/>
      <w:divBdr>
        <w:top w:val="none" w:sz="0" w:space="0" w:color="auto"/>
        <w:left w:val="none" w:sz="0" w:space="0" w:color="auto"/>
        <w:bottom w:val="none" w:sz="0" w:space="0" w:color="auto"/>
        <w:right w:val="none" w:sz="0" w:space="0" w:color="auto"/>
      </w:divBdr>
    </w:div>
    <w:div w:id="450437513">
      <w:bodyDiv w:val="1"/>
      <w:marLeft w:val="0"/>
      <w:marRight w:val="0"/>
      <w:marTop w:val="0"/>
      <w:marBottom w:val="0"/>
      <w:divBdr>
        <w:top w:val="none" w:sz="0" w:space="0" w:color="auto"/>
        <w:left w:val="none" w:sz="0" w:space="0" w:color="auto"/>
        <w:bottom w:val="none" w:sz="0" w:space="0" w:color="auto"/>
        <w:right w:val="none" w:sz="0" w:space="0" w:color="auto"/>
      </w:divBdr>
    </w:div>
    <w:div w:id="466361933">
      <w:bodyDiv w:val="1"/>
      <w:marLeft w:val="0"/>
      <w:marRight w:val="0"/>
      <w:marTop w:val="0"/>
      <w:marBottom w:val="0"/>
      <w:divBdr>
        <w:top w:val="none" w:sz="0" w:space="0" w:color="auto"/>
        <w:left w:val="none" w:sz="0" w:space="0" w:color="auto"/>
        <w:bottom w:val="none" w:sz="0" w:space="0" w:color="auto"/>
        <w:right w:val="none" w:sz="0" w:space="0" w:color="auto"/>
      </w:divBdr>
    </w:div>
    <w:div w:id="508639833">
      <w:bodyDiv w:val="1"/>
      <w:marLeft w:val="0"/>
      <w:marRight w:val="0"/>
      <w:marTop w:val="0"/>
      <w:marBottom w:val="0"/>
      <w:divBdr>
        <w:top w:val="none" w:sz="0" w:space="0" w:color="auto"/>
        <w:left w:val="none" w:sz="0" w:space="0" w:color="auto"/>
        <w:bottom w:val="none" w:sz="0" w:space="0" w:color="auto"/>
        <w:right w:val="none" w:sz="0" w:space="0" w:color="auto"/>
      </w:divBdr>
    </w:div>
    <w:div w:id="862330557">
      <w:bodyDiv w:val="1"/>
      <w:marLeft w:val="0"/>
      <w:marRight w:val="0"/>
      <w:marTop w:val="0"/>
      <w:marBottom w:val="0"/>
      <w:divBdr>
        <w:top w:val="none" w:sz="0" w:space="0" w:color="auto"/>
        <w:left w:val="none" w:sz="0" w:space="0" w:color="auto"/>
        <w:bottom w:val="none" w:sz="0" w:space="0" w:color="auto"/>
        <w:right w:val="none" w:sz="0" w:space="0" w:color="auto"/>
      </w:divBdr>
    </w:div>
    <w:div w:id="886768469">
      <w:bodyDiv w:val="1"/>
      <w:marLeft w:val="0"/>
      <w:marRight w:val="0"/>
      <w:marTop w:val="0"/>
      <w:marBottom w:val="0"/>
      <w:divBdr>
        <w:top w:val="none" w:sz="0" w:space="0" w:color="auto"/>
        <w:left w:val="none" w:sz="0" w:space="0" w:color="auto"/>
        <w:bottom w:val="none" w:sz="0" w:space="0" w:color="auto"/>
        <w:right w:val="none" w:sz="0" w:space="0" w:color="auto"/>
      </w:divBdr>
    </w:div>
    <w:div w:id="944851640">
      <w:bodyDiv w:val="1"/>
      <w:marLeft w:val="0"/>
      <w:marRight w:val="0"/>
      <w:marTop w:val="0"/>
      <w:marBottom w:val="0"/>
      <w:divBdr>
        <w:top w:val="none" w:sz="0" w:space="0" w:color="auto"/>
        <w:left w:val="none" w:sz="0" w:space="0" w:color="auto"/>
        <w:bottom w:val="none" w:sz="0" w:space="0" w:color="auto"/>
        <w:right w:val="none" w:sz="0" w:space="0" w:color="auto"/>
      </w:divBdr>
    </w:div>
    <w:div w:id="945115305">
      <w:bodyDiv w:val="1"/>
      <w:marLeft w:val="0"/>
      <w:marRight w:val="0"/>
      <w:marTop w:val="0"/>
      <w:marBottom w:val="0"/>
      <w:divBdr>
        <w:top w:val="none" w:sz="0" w:space="0" w:color="auto"/>
        <w:left w:val="none" w:sz="0" w:space="0" w:color="auto"/>
        <w:bottom w:val="none" w:sz="0" w:space="0" w:color="auto"/>
        <w:right w:val="none" w:sz="0" w:space="0" w:color="auto"/>
      </w:divBdr>
    </w:div>
    <w:div w:id="1043403732">
      <w:bodyDiv w:val="1"/>
      <w:marLeft w:val="0"/>
      <w:marRight w:val="0"/>
      <w:marTop w:val="0"/>
      <w:marBottom w:val="0"/>
      <w:divBdr>
        <w:top w:val="none" w:sz="0" w:space="0" w:color="auto"/>
        <w:left w:val="none" w:sz="0" w:space="0" w:color="auto"/>
        <w:bottom w:val="none" w:sz="0" w:space="0" w:color="auto"/>
        <w:right w:val="none" w:sz="0" w:space="0" w:color="auto"/>
      </w:divBdr>
    </w:div>
    <w:div w:id="1318069343">
      <w:bodyDiv w:val="1"/>
      <w:marLeft w:val="0"/>
      <w:marRight w:val="0"/>
      <w:marTop w:val="0"/>
      <w:marBottom w:val="0"/>
      <w:divBdr>
        <w:top w:val="none" w:sz="0" w:space="0" w:color="auto"/>
        <w:left w:val="none" w:sz="0" w:space="0" w:color="auto"/>
        <w:bottom w:val="none" w:sz="0" w:space="0" w:color="auto"/>
        <w:right w:val="none" w:sz="0" w:space="0" w:color="auto"/>
      </w:divBdr>
    </w:div>
    <w:div w:id="1359964220">
      <w:bodyDiv w:val="1"/>
      <w:marLeft w:val="0"/>
      <w:marRight w:val="0"/>
      <w:marTop w:val="0"/>
      <w:marBottom w:val="0"/>
      <w:divBdr>
        <w:top w:val="none" w:sz="0" w:space="0" w:color="auto"/>
        <w:left w:val="none" w:sz="0" w:space="0" w:color="auto"/>
        <w:bottom w:val="none" w:sz="0" w:space="0" w:color="auto"/>
        <w:right w:val="none" w:sz="0" w:space="0" w:color="auto"/>
      </w:divBdr>
    </w:div>
    <w:div w:id="1446197307">
      <w:bodyDiv w:val="1"/>
      <w:marLeft w:val="0"/>
      <w:marRight w:val="0"/>
      <w:marTop w:val="0"/>
      <w:marBottom w:val="0"/>
      <w:divBdr>
        <w:top w:val="none" w:sz="0" w:space="0" w:color="auto"/>
        <w:left w:val="none" w:sz="0" w:space="0" w:color="auto"/>
        <w:bottom w:val="none" w:sz="0" w:space="0" w:color="auto"/>
        <w:right w:val="none" w:sz="0" w:space="0" w:color="auto"/>
      </w:divBdr>
    </w:div>
    <w:div w:id="1518228998">
      <w:bodyDiv w:val="1"/>
      <w:marLeft w:val="0"/>
      <w:marRight w:val="0"/>
      <w:marTop w:val="0"/>
      <w:marBottom w:val="0"/>
      <w:divBdr>
        <w:top w:val="none" w:sz="0" w:space="0" w:color="auto"/>
        <w:left w:val="none" w:sz="0" w:space="0" w:color="auto"/>
        <w:bottom w:val="none" w:sz="0" w:space="0" w:color="auto"/>
        <w:right w:val="none" w:sz="0" w:space="0" w:color="auto"/>
      </w:divBdr>
    </w:div>
    <w:div w:id="1739866983">
      <w:bodyDiv w:val="1"/>
      <w:marLeft w:val="0"/>
      <w:marRight w:val="0"/>
      <w:marTop w:val="0"/>
      <w:marBottom w:val="0"/>
      <w:divBdr>
        <w:top w:val="none" w:sz="0" w:space="0" w:color="auto"/>
        <w:left w:val="none" w:sz="0" w:space="0" w:color="auto"/>
        <w:bottom w:val="none" w:sz="0" w:space="0" w:color="auto"/>
        <w:right w:val="none" w:sz="0" w:space="0" w:color="auto"/>
      </w:divBdr>
    </w:div>
    <w:div w:id="1885561764">
      <w:bodyDiv w:val="1"/>
      <w:marLeft w:val="0"/>
      <w:marRight w:val="0"/>
      <w:marTop w:val="0"/>
      <w:marBottom w:val="0"/>
      <w:divBdr>
        <w:top w:val="none" w:sz="0" w:space="0" w:color="auto"/>
        <w:left w:val="none" w:sz="0" w:space="0" w:color="auto"/>
        <w:bottom w:val="none" w:sz="0" w:space="0" w:color="auto"/>
        <w:right w:val="none" w:sz="0" w:space="0" w:color="auto"/>
      </w:divBdr>
    </w:div>
    <w:div w:id="1915968670">
      <w:bodyDiv w:val="1"/>
      <w:marLeft w:val="0"/>
      <w:marRight w:val="0"/>
      <w:marTop w:val="0"/>
      <w:marBottom w:val="0"/>
      <w:divBdr>
        <w:top w:val="none" w:sz="0" w:space="0" w:color="auto"/>
        <w:left w:val="none" w:sz="0" w:space="0" w:color="auto"/>
        <w:bottom w:val="none" w:sz="0" w:space="0" w:color="auto"/>
        <w:right w:val="none" w:sz="0" w:space="0" w:color="auto"/>
      </w:divBdr>
    </w:div>
    <w:div w:id="1949727200">
      <w:bodyDiv w:val="1"/>
      <w:marLeft w:val="0"/>
      <w:marRight w:val="0"/>
      <w:marTop w:val="0"/>
      <w:marBottom w:val="0"/>
      <w:divBdr>
        <w:top w:val="none" w:sz="0" w:space="0" w:color="auto"/>
        <w:left w:val="none" w:sz="0" w:space="0" w:color="auto"/>
        <w:bottom w:val="none" w:sz="0" w:space="0" w:color="auto"/>
        <w:right w:val="none" w:sz="0" w:space="0" w:color="auto"/>
      </w:divBdr>
    </w:div>
    <w:div w:id="195363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C3788F-8AF7-4B0B-ABF1-976F785B3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Robert Corkran</cp:lastModifiedBy>
  <cp:revision>18</cp:revision>
  <cp:lastPrinted>2014-02-25T19:52:00Z</cp:lastPrinted>
  <dcterms:created xsi:type="dcterms:W3CDTF">2014-06-10T16:23:00Z</dcterms:created>
  <dcterms:modified xsi:type="dcterms:W3CDTF">2014-06-11T17:41:00Z</dcterms:modified>
</cp:coreProperties>
</file>